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olor w:val="000000"/>
          <w:sz w:val="32"/>
          <w:szCs w:val="32"/>
        </w:rPr>
      </w:pPr>
      <w:r>
        <w:rPr>
          <w:rFonts w:hint="eastAsia" w:ascii="黑体" w:hAnsi="黑体" w:eastAsia="黑体"/>
          <w:color w:val="000000"/>
          <w:sz w:val="32"/>
          <w:szCs w:val="32"/>
        </w:rPr>
        <w:t>附件</w:t>
      </w:r>
    </w:p>
    <w:p>
      <w:pPr>
        <w:jc w:val="center"/>
        <w:rPr>
          <w:b/>
          <w:bCs/>
          <w:sz w:val="72"/>
        </w:rPr>
      </w:pPr>
      <w:r>
        <w:rPr>
          <w:rFonts w:ascii="仿宋" w:hAnsi="仿宋" w:eastAsia="仿宋"/>
          <w:color w:val="000000"/>
          <w:sz w:val="32"/>
          <w:szCs w:val="32"/>
        </w:rPr>
        <w:pict>
          <v:shape id="_x0000_s1026" o:spid="_x0000_s1026" o:spt="202" type="#_x0000_t202" style="position:absolute;left:0pt;margin-left:307.5pt;margin-top:1.35pt;height:31.2pt;width:152.95pt;z-index:251659264;mso-width-relative:page;mso-height-relative:page;" stroked="f" coordsize="21600,21600" o:gfxdata="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2Ax2jdYAAAAIAQAADwAAAAAAAAABACAAAAAiAAAAZHJzL2Rvd25yZXYueG1sUEsB&#10;AhQAFAAAAAgAh07iQJ9ODOAwAgAATAQAAA4AAAAAAAAAAQAgAAAAJQEAAGRycy9lMm9Eb2MueG1s&#10;UEsFBgAAAAAGAAYAWQEAAMcFAAAAAA==&#10;">
            <v:path/>
            <v:fill focussize="0,0"/>
            <v:stroke on="f" joinstyle="miter"/>
            <v:imagedata o:title=""/>
            <o:lock v:ext="edit"/>
            <v:textbox>
              <w:txbxContent>
                <w:p>
                  <w:pPr>
                    <w:rPr>
                      <w:u w:val="single"/>
                    </w:rPr>
                  </w:pPr>
                  <w:r>
                    <w:rPr>
                      <w:rFonts w:hint="eastAsia"/>
                    </w:rPr>
                    <w:t>编号：</w:t>
                  </w:r>
                  <w:r>
                    <w:rPr>
                      <w:rFonts w:hint="eastAsia"/>
                      <w:u w:val="single"/>
                    </w:rPr>
                    <w:t xml:space="preserve">     </w:t>
                  </w:r>
                  <w:r>
                    <w:rPr>
                      <w:u w:val="single"/>
                    </w:rPr>
                    <w:t xml:space="preserve">        </w:t>
                  </w:r>
                  <w:r>
                    <w:rPr>
                      <w:rFonts w:hint="eastAsia"/>
                      <w:u w:val="single"/>
                    </w:rPr>
                    <w:t xml:space="preserve">      </w:t>
                  </w:r>
                </w:p>
              </w:txbxContent>
            </v:textbox>
          </v:shape>
        </w:pict>
      </w:r>
    </w:p>
    <w:p>
      <w:pPr>
        <w:jc w:val="center"/>
        <w:rPr>
          <w:b/>
          <w:bCs/>
          <w:sz w:val="72"/>
        </w:rPr>
      </w:pPr>
    </w:p>
    <w:p>
      <w:pPr>
        <w:jc w:val="center"/>
        <w:rPr>
          <w:b/>
          <w:bCs/>
          <w:sz w:val="72"/>
        </w:rPr>
      </w:pPr>
      <w:r>
        <w:rPr>
          <w:rFonts w:hint="eastAsia"/>
          <w:b/>
          <w:bCs/>
          <w:sz w:val="72"/>
        </w:rPr>
        <w:t>浙江水利</w:t>
      </w:r>
      <w:r>
        <w:rPr>
          <w:b/>
          <w:bCs/>
          <w:sz w:val="72"/>
        </w:rPr>
        <w:t>水电学院</w:t>
      </w:r>
    </w:p>
    <w:p>
      <w:pPr>
        <w:jc w:val="center"/>
        <w:rPr>
          <w:b/>
          <w:bCs/>
          <w:sz w:val="48"/>
        </w:rPr>
      </w:pPr>
    </w:p>
    <w:p>
      <w:pPr>
        <w:spacing w:line="360" w:lineRule="auto"/>
        <w:jc w:val="center"/>
        <w:rPr>
          <w:b/>
          <w:bCs/>
          <w:sz w:val="52"/>
        </w:rPr>
      </w:pPr>
      <w:r>
        <w:rPr>
          <w:rFonts w:hint="eastAsia"/>
          <w:b/>
          <w:bCs/>
          <w:sz w:val="52"/>
        </w:rPr>
        <w:t>大型仪器设备申购论证报告</w:t>
      </w:r>
    </w:p>
    <w:p>
      <w:pPr>
        <w:jc w:val="center"/>
        <w:rPr>
          <w:b/>
          <w:bCs/>
          <w:szCs w:val="21"/>
        </w:rPr>
      </w:pPr>
    </w:p>
    <w:p>
      <w:pPr>
        <w:jc w:val="center"/>
        <w:rPr>
          <w:b/>
          <w:bCs/>
          <w:sz w:val="44"/>
        </w:rPr>
      </w:pPr>
    </w:p>
    <w:p>
      <w:pPr>
        <w:jc w:val="center"/>
        <w:rPr>
          <w:b/>
          <w:bCs/>
          <w:sz w:val="44"/>
        </w:rPr>
      </w:pPr>
    </w:p>
    <w:p>
      <w:pPr>
        <w:spacing w:beforeLines="50" w:afterLines="50"/>
        <w:ind w:left="1470" w:leftChars="700"/>
        <w:jc w:val="left"/>
        <w:rPr>
          <w:rFonts w:ascii="宋体" w:hAnsi="宋体"/>
          <w:snapToGrid w:val="0"/>
          <w:spacing w:val="40"/>
          <w:kern w:val="36"/>
          <w:sz w:val="28"/>
          <w:u w:val="single"/>
        </w:rPr>
      </w:pPr>
      <w:r>
        <w:rPr>
          <w:rFonts w:hint="eastAsia" w:ascii="宋体" w:hAnsi="宋体"/>
          <w:snapToGrid w:val="0"/>
          <w:spacing w:val="40"/>
          <w:kern w:val="36"/>
          <w:sz w:val="28"/>
        </w:rPr>
        <w:t>仪器</w:t>
      </w:r>
      <w:r>
        <w:rPr>
          <w:rFonts w:ascii="宋体" w:hAnsi="宋体"/>
          <w:snapToGrid w:val="0"/>
          <w:spacing w:val="40"/>
          <w:kern w:val="36"/>
          <w:sz w:val="28"/>
        </w:rPr>
        <w:t>设备名称</w:t>
      </w:r>
      <w:r>
        <w:rPr>
          <w:rFonts w:hint="eastAsia" w:ascii="宋体" w:hAnsi="宋体"/>
          <w:snapToGrid w:val="0"/>
          <w:spacing w:val="40"/>
          <w:kern w:val="36"/>
          <w:sz w:val="28"/>
        </w:rPr>
        <w:t xml:space="preserve"> </w:t>
      </w:r>
      <w:r>
        <w:rPr>
          <w:rFonts w:hint="eastAsia" w:ascii="宋体" w:hAnsi="宋体"/>
          <w:snapToGrid w:val="0"/>
          <w:spacing w:val="40"/>
          <w:kern w:val="36"/>
          <w:sz w:val="28"/>
          <w:u w:val="single"/>
        </w:rPr>
        <w:t>数据实验平台及教学管理平台</w:t>
      </w:r>
    </w:p>
    <w:p>
      <w:pPr>
        <w:spacing w:beforeLines="50" w:afterLines="50"/>
        <w:ind w:left="1470" w:leftChars="700"/>
        <w:jc w:val="left"/>
        <w:rPr>
          <w:rFonts w:ascii="宋体" w:hAnsi="宋体"/>
          <w:sz w:val="28"/>
        </w:rPr>
      </w:pPr>
      <w:r>
        <w:rPr>
          <w:rFonts w:hint="eastAsia" w:ascii="宋体" w:hAnsi="宋体"/>
          <w:sz w:val="28"/>
        </w:rPr>
        <w:t>申  请  单  位</w:t>
      </w:r>
      <w:r>
        <w:rPr>
          <w:rFonts w:hint="eastAsia" w:ascii="宋体" w:hAnsi="宋体"/>
          <w:snapToGrid w:val="0"/>
          <w:spacing w:val="40"/>
          <w:kern w:val="36"/>
          <w:sz w:val="28"/>
        </w:rPr>
        <w:t xml:space="preserve"> </w:t>
      </w:r>
      <w:r>
        <w:rPr>
          <w:rFonts w:hint="eastAsia" w:ascii="宋体" w:hAnsi="宋体"/>
          <w:snapToGrid w:val="0"/>
          <w:spacing w:val="40"/>
          <w:kern w:val="36"/>
          <w:sz w:val="28"/>
          <w:u w:val="single"/>
        </w:rPr>
        <w:t xml:space="preserve">  信息工程</w:t>
      </w:r>
      <w:r>
        <w:rPr>
          <w:rFonts w:ascii="宋体" w:hAnsi="宋体"/>
          <w:snapToGrid w:val="0"/>
          <w:spacing w:val="40"/>
          <w:kern w:val="36"/>
          <w:sz w:val="28"/>
          <w:u w:val="single"/>
        </w:rPr>
        <w:t xml:space="preserve">    </w:t>
      </w:r>
      <w:r>
        <w:rPr>
          <w:rFonts w:hint="eastAsia" w:ascii="宋体" w:hAnsi="宋体"/>
          <w:snapToGrid w:val="0"/>
          <w:spacing w:val="40"/>
          <w:kern w:val="36"/>
          <w:sz w:val="28"/>
        </w:rPr>
        <w:t>学院（部门）</w:t>
      </w:r>
    </w:p>
    <w:p>
      <w:pPr>
        <w:spacing w:beforeLines="50" w:afterLines="50"/>
        <w:ind w:left="1470" w:leftChars="700"/>
        <w:jc w:val="left"/>
        <w:rPr>
          <w:rFonts w:ascii="宋体" w:hAnsi="宋体"/>
          <w:snapToGrid w:val="0"/>
          <w:spacing w:val="40"/>
          <w:kern w:val="36"/>
          <w:sz w:val="28"/>
          <w:u w:val="single"/>
        </w:rPr>
      </w:pPr>
      <w:r>
        <w:rPr>
          <w:rFonts w:hint="eastAsia" w:ascii="宋体" w:hAnsi="宋体"/>
          <w:sz w:val="28"/>
        </w:rPr>
        <w:t>申 请 人（签名）</w:t>
      </w:r>
      <w:r>
        <w:rPr>
          <w:rFonts w:ascii="宋体" w:hAnsi="宋体"/>
          <w:snapToGrid w:val="0"/>
          <w:spacing w:val="40"/>
          <w:kern w:val="36"/>
          <w:sz w:val="28"/>
          <w:u w:val="single"/>
        </w:rPr>
        <w:t xml:space="preserve">  </w:t>
      </w:r>
      <w:r>
        <w:rPr>
          <w:rFonts w:hint="eastAsia" w:ascii="宋体" w:hAnsi="宋体"/>
          <w:snapToGrid w:val="0"/>
          <w:spacing w:val="40"/>
          <w:kern w:val="36"/>
          <w:sz w:val="28"/>
          <w:u w:val="single"/>
        </w:rPr>
        <w:t xml:space="preserve">徐欧官    </w:t>
      </w:r>
      <w:r>
        <w:rPr>
          <w:rFonts w:ascii="宋体" w:hAnsi="宋体"/>
          <w:snapToGrid w:val="0"/>
          <w:spacing w:val="40"/>
          <w:kern w:val="36"/>
          <w:sz w:val="28"/>
          <w:u w:val="single"/>
        </w:rPr>
        <w:t xml:space="preserve">          </w:t>
      </w:r>
    </w:p>
    <w:p>
      <w:pPr>
        <w:spacing w:beforeLines="50" w:afterLines="50"/>
        <w:ind w:left="1470" w:leftChars="700"/>
        <w:jc w:val="left"/>
        <w:rPr>
          <w:rFonts w:ascii="宋体" w:hAnsi="宋体"/>
          <w:snapToGrid w:val="0"/>
          <w:spacing w:val="40"/>
          <w:kern w:val="36"/>
          <w:sz w:val="28"/>
        </w:rPr>
      </w:pPr>
      <w:r>
        <w:rPr>
          <w:rFonts w:hint="eastAsia" w:ascii="宋体" w:hAnsi="宋体"/>
          <w:snapToGrid w:val="0"/>
          <w:spacing w:val="40"/>
          <w:kern w:val="36"/>
          <w:sz w:val="28"/>
        </w:rPr>
        <w:t xml:space="preserve">联 系 </w:t>
      </w:r>
      <w:r>
        <w:rPr>
          <w:rFonts w:ascii="宋体" w:hAnsi="宋体"/>
          <w:snapToGrid w:val="0"/>
          <w:spacing w:val="40"/>
          <w:kern w:val="36"/>
          <w:sz w:val="28"/>
        </w:rPr>
        <w:t>电</w:t>
      </w:r>
      <w:r>
        <w:rPr>
          <w:rFonts w:hint="eastAsia" w:ascii="宋体" w:hAnsi="宋体"/>
          <w:snapToGrid w:val="0"/>
          <w:spacing w:val="40"/>
          <w:kern w:val="36"/>
          <w:sz w:val="28"/>
        </w:rPr>
        <w:t xml:space="preserve"> </w:t>
      </w:r>
      <w:r>
        <w:rPr>
          <w:rFonts w:ascii="宋体" w:hAnsi="宋体"/>
          <w:snapToGrid w:val="0"/>
          <w:spacing w:val="40"/>
          <w:kern w:val="36"/>
          <w:sz w:val="28"/>
        </w:rPr>
        <w:t>话</w:t>
      </w:r>
      <w:r>
        <w:rPr>
          <w:rFonts w:hint="eastAsia" w:ascii="宋体" w:hAnsi="宋体"/>
          <w:snapToGrid w:val="0"/>
          <w:spacing w:val="40"/>
          <w:kern w:val="36"/>
          <w:sz w:val="28"/>
          <w:u w:val="single"/>
        </w:rPr>
        <w:t xml:space="preserve">  </w:t>
      </w:r>
      <w:r>
        <w:rPr>
          <w:rFonts w:ascii="宋体" w:hAnsi="宋体"/>
          <w:snapToGrid w:val="0"/>
          <w:spacing w:val="40"/>
          <w:kern w:val="36"/>
          <w:sz w:val="28"/>
          <w:u w:val="single"/>
        </w:rPr>
        <w:t xml:space="preserve"> </w:t>
      </w:r>
      <w:r>
        <w:rPr>
          <w:rFonts w:hint="eastAsia" w:ascii="宋体" w:hAnsi="宋体"/>
          <w:snapToGrid w:val="0"/>
          <w:spacing w:val="40"/>
          <w:kern w:val="36"/>
          <w:sz w:val="28"/>
          <w:u w:val="single"/>
        </w:rPr>
        <w:t>15381145588</w:t>
      </w:r>
      <w:r>
        <w:rPr>
          <w:rFonts w:ascii="宋体" w:hAnsi="宋体"/>
          <w:snapToGrid w:val="0"/>
          <w:spacing w:val="40"/>
          <w:kern w:val="36"/>
          <w:sz w:val="28"/>
          <w:u w:val="single"/>
        </w:rPr>
        <w:t xml:space="preserve">          </w:t>
      </w:r>
    </w:p>
    <w:p>
      <w:pPr>
        <w:spacing w:beforeLines="50" w:afterLines="50"/>
        <w:ind w:left="1470" w:leftChars="700"/>
        <w:jc w:val="left"/>
        <w:rPr>
          <w:rFonts w:ascii="宋体" w:hAnsi="宋体"/>
          <w:snapToGrid w:val="0"/>
          <w:spacing w:val="40"/>
          <w:kern w:val="36"/>
          <w:sz w:val="28"/>
          <w:u w:val="single"/>
        </w:rPr>
      </w:pPr>
      <w:r>
        <w:rPr>
          <w:rFonts w:hint="eastAsia" w:ascii="宋体" w:hAnsi="宋体"/>
          <w:color w:val="000000"/>
          <w:sz w:val="28"/>
        </w:rPr>
        <w:t xml:space="preserve">申  请  日  期  </w:t>
      </w:r>
      <w:r>
        <w:rPr>
          <w:rFonts w:hint="eastAsia" w:ascii="宋体" w:hAnsi="宋体"/>
          <w:snapToGrid w:val="0"/>
          <w:spacing w:val="40"/>
          <w:kern w:val="36"/>
          <w:sz w:val="28"/>
          <w:u w:val="single"/>
        </w:rPr>
        <w:t xml:space="preserve"> 2021</w:t>
      </w:r>
      <w:r>
        <w:rPr>
          <w:rFonts w:ascii="宋体" w:hAnsi="宋体"/>
          <w:snapToGrid w:val="0"/>
          <w:spacing w:val="40"/>
          <w:kern w:val="36"/>
          <w:sz w:val="28"/>
          <w:u w:val="single"/>
        </w:rPr>
        <w:t xml:space="preserve"> </w:t>
      </w:r>
      <w:r>
        <w:rPr>
          <w:rFonts w:hint="eastAsia" w:ascii="宋体" w:hAnsi="宋体"/>
          <w:snapToGrid w:val="0"/>
          <w:spacing w:val="40"/>
          <w:kern w:val="36"/>
          <w:sz w:val="28"/>
        </w:rPr>
        <w:t>年</w:t>
      </w:r>
      <w:r>
        <w:rPr>
          <w:rFonts w:ascii="宋体" w:hAnsi="宋体"/>
          <w:snapToGrid w:val="0"/>
          <w:spacing w:val="40"/>
          <w:kern w:val="36"/>
          <w:sz w:val="28"/>
          <w:u w:val="single"/>
        </w:rPr>
        <w:t xml:space="preserve"> </w:t>
      </w:r>
      <w:r>
        <w:rPr>
          <w:rFonts w:hint="eastAsia" w:ascii="宋体" w:hAnsi="宋体"/>
          <w:snapToGrid w:val="0"/>
          <w:spacing w:val="40"/>
          <w:kern w:val="36"/>
          <w:sz w:val="28"/>
          <w:u w:val="single"/>
        </w:rPr>
        <w:t>11</w:t>
      </w:r>
      <w:r>
        <w:rPr>
          <w:rFonts w:ascii="宋体" w:hAnsi="宋体"/>
          <w:snapToGrid w:val="0"/>
          <w:spacing w:val="40"/>
          <w:kern w:val="36"/>
          <w:sz w:val="28"/>
          <w:u w:val="single"/>
        </w:rPr>
        <w:t xml:space="preserve"> </w:t>
      </w:r>
      <w:r>
        <w:rPr>
          <w:rFonts w:hint="eastAsia" w:ascii="宋体" w:hAnsi="宋体"/>
          <w:snapToGrid w:val="0"/>
          <w:spacing w:val="40"/>
          <w:kern w:val="36"/>
          <w:sz w:val="28"/>
        </w:rPr>
        <w:t>月</w:t>
      </w:r>
      <w:r>
        <w:rPr>
          <w:rFonts w:ascii="宋体" w:hAnsi="宋体"/>
          <w:snapToGrid w:val="0"/>
          <w:spacing w:val="40"/>
          <w:kern w:val="36"/>
          <w:sz w:val="28"/>
          <w:u w:val="single"/>
        </w:rPr>
        <w:t xml:space="preserve"> </w:t>
      </w:r>
      <w:r>
        <w:rPr>
          <w:rFonts w:hint="eastAsia" w:ascii="宋体" w:hAnsi="宋体"/>
          <w:snapToGrid w:val="0"/>
          <w:spacing w:val="40"/>
          <w:kern w:val="36"/>
          <w:sz w:val="28"/>
          <w:u w:val="single"/>
        </w:rPr>
        <w:t>25</w:t>
      </w:r>
      <w:r>
        <w:rPr>
          <w:rFonts w:ascii="宋体" w:hAnsi="宋体"/>
          <w:snapToGrid w:val="0"/>
          <w:spacing w:val="40"/>
          <w:kern w:val="36"/>
          <w:sz w:val="28"/>
          <w:u w:val="single"/>
        </w:rPr>
        <w:t xml:space="preserve"> </w:t>
      </w:r>
      <w:r>
        <w:rPr>
          <w:rFonts w:hint="eastAsia" w:ascii="宋体" w:hAnsi="宋体"/>
          <w:snapToGrid w:val="0"/>
          <w:spacing w:val="40"/>
          <w:kern w:val="36"/>
          <w:sz w:val="28"/>
        </w:rPr>
        <w:t>日</w:t>
      </w:r>
    </w:p>
    <w:p>
      <w:pPr>
        <w:jc w:val="center"/>
      </w:pPr>
    </w:p>
    <w:p>
      <w:pPr>
        <w:spacing w:line="300" w:lineRule="exact"/>
        <w:ind w:left="2339" w:leftChars="1114"/>
      </w:pPr>
    </w:p>
    <w:p>
      <w:pPr>
        <w:spacing w:line="300" w:lineRule="exact"/>
        <w:jc w:val="center"/>
      </w:pPr>
    </w:p>
    <w:p>
      <w:pPr>
        <w:spacing w:line="300" w:lineRule="exact"/>
        <w:jc w:val="center"/>
      </w:pPr>
    </w:p>
    <w:p>
      <w:pPr>
        <w:spacing w:line="300" w:lineRule="exact"/>
        <w:jc w:val="center"/>
      </w:pPr>
    </w:p>
    <w:p>
      <w:pPr>
        <w:spacing w:line="300" w:lineRule="exact"/>
        <w:jc w:val="center"/>
      </w:pPr>
    </w:p>
    <w:p>
      <w:pPr>
        <w:spacing w:line="300" w:lineRule="exact"/>
        <w:jc w:val="center"/>
      </w:pPr>
    </w:p>
    <w:p>
      <w:pPr>
        <w:spacing w:line="300" w:lineRule="exact"/>
        <w:jc w:val="center"/>
      </w:pPr>
    </w:p>
    <w:p>
      <w:pPr>
        <w:spacing w:line="360" w:lineRule="auto"/>
        <w:jc w:val="center"/>
        <w:rPr>
          <w:sz w:val="32"/>
        </w:rPr>
        <w:sectPr>
          <w:headerReference r:id="rId3" w:type="first"/>
          <w:footerReference r:id="rId4" w:type="default"/>
          <w:footerReference r:id="rId5" w:type="even"/>
          <w:pgSz w:w="11907" w:h="16840"/>
          <w:pgMar w:top="1440" w:right="1021" w:bottom="1077" w:left="1191" w:header="851" w:footer="992" w:gutter="0"/>
          <w:pgNumType w:start="0"/>
          <w:cols w:space="425" w:num="1"/>
          <w:titlePg/>
          <w:docGrid w:type="lines" w:linePitch="312" w:charSpace="0"/>
        </w:sectPr>
      </w:pPr>
      <w:r>
        <w:rPr>
          <w:rFonts w:hint="eastAsia"/>
          <w:sz w:val="32"/>
        </w:rPr>
        <w:t>实验室与设备管理处（采购</w:t>
      </w:r>
      <w:r>
        <w:rPr>
          <w:sz w:val="32"/>
        </w:rPr>
        <w:t>中心</w:t>
      </w:r>
      <w:r>
        <w:rPr>
          <w:rFonts w:hint="eastAsia"/>
          <w:sz w:val="32"/>
        </w:rPr>
        <w:t>）制</w:t>
      </w:r>
    </w:p>
    <w:p>
      <w:pPr>
        <w:pStyle w:val="5"/>
        <w:spacing w:before="100" w:beforeAutospacing="1" w:after="100" w:afterAutospacing="1"/>
        <w:jc w:val="center"/>
        <w:rPr>
          <w:rFonts w:ascii="Times New Roman" w:hAnsi="Times New Roman"/>
          <w:sz w:val="36"/>
          <w:szCs w:val="36"/>
        </w:rPr>
      </w:pPr>
      <w:r>
        <w:rPr>
          <w:rFonts w:ascii="Times New Roman" w:hAnsi="Times New Roman"/>
          <w:sz w:val="36"/>
          <w:szCs w:val="36"/>
        </w:rPr>
        <w:t>填表说明</w:t>
      </w:r>
    </w:p>
    <w:p>
      <w:pPr>
        <w:pStyle w:val="20"/>
        <w:ind w:firstLine="560"/>
        <w:rPr>
          <w:rFonts w:hAnsi="Times New Roman" w:asciiTheme="minorHAnsi" w:eastAsiaTheme="minorEastAsia" w:cstheme="minorBidi"/>
          <w:color w:val="auto"/>
          <w:kern w:val="2"/>
          <w:sz w:val="28"/>
          <w:szCs w:val="28"/>
        </w:rPr>
      </w:pPr>
      <w:r>
        <w:rPr>
          <w:rFonts w:hint="eastAsia" w:hAnsi="Times New Roman" w:asciiTheme="minorHAnsi" w:eastAsiaTheme="minorEastAsia" w:cstheme="minorBidi"/>
          <w:color w:val="auto"/>
          <w:kern w:val="2"/>
          <w:sz w:val="28"/>
          <w:szCs w:val="28"/>
        </w:rPr>
        <w:t>一、凡购买单价在</w:t>
      </w:r>
      <w:r>
        <w:rPr>
          <w:rFonts w:hAnsi="Times New Roman" w:asciiTheme="minorHAnsi" w:eastAsiaTheme="minorEastAsia" w:cstheme="minorBidi"/>
          <w:color w:val="auto"/>
          <w:kern w:val="2"/>
          <w:sz w:val="28"/>
          <w:szCs w:val="28"/>
        </w:rPr>
        <w:t>10</w:t>
      </w:r>
      <w:r>
        <w:rPr>
          <w:rFonts w:hint="eastAsia" w:hAnsi="Times New Roman" w:asciiTheme="minorHAnsi" w:eastAsiaTheme="minorEastAsia" w:cstheme="minorBidi"/>
          <w:color w:val="auto"/>
          <w:kern w:val="2"/>
          <w:sz w:val="28"/>
          <w:szCs w:val="28"/>
        </w:rPr>
        <w:t>万元</w:t>
      </w:r>
      <w:r>
        <w:rPr>
          <w:rFonts w:hAnsi="Times New Roman" w:asciiTheme="minorHAnsi" w:eastAsiaTheme="minorEastAsia" w:cstheme="minorBidi"/>
          <w:color w:val="auto"/>
          <w:kern w:val="2"/>
          <w:sz w:val="28"/>
          <w:szCs w:val="28"/>
        </w:rPr>
        <w:t>(</w:t>
      </w:r>
      <w:r>
        <w:rPr>
          <w:rFonts w:hint="eastAsia" w:hAnsi="Times New Roman" w:asciiTheme="minorHAnsi" w:eastAsiaTheme="minorEastAsia" w:cstheme="minorBidi"/>
          <w:color w:val="auto"/>
          <w:kern w:val="2"/>
          <w:sz w:val="28"/>
          <w:szCs w:val="28"/>
        </w:rPr>
        <w:t>含</w:t>
      </w:r>
      <w:r>
        <w:rPr>
          <w:rFonts w:hAnsi="Times New Roman" w:asciiTheme="minorHAnsi" w:eastAsiaTheme="minorEastAsia" w:cstheme="minorBidi"/>
          <w:color w:val="auto"/>
          <w:kern w:val="2"/>
          <w:sz w:val="28"/>
          <w:szCs w:val="28"/>
        </w:rPr>
        <w:t>)</w:t>
      </w:r>
      <w:r>
        <w:rPr>
          <w:rFonts w:hint="eastAsia" w:hAnsi="Times New Roman" w:asciiTheme="minorHAnsi" w:eastAsiaTheme="minorEastAsia" w:cstheme="minorBidi"/>
          <w:color w:val="auto"/>
          <w:kern w:val="2"/>
          <w:sz w:val="28"/>
          <w:szCs w:val="28"/>
        </w:rPr>
        <w:t>以上的仪器设备均需进行申购论证。</w:t>
      </w:r>
    </w:p>
    <w:p>
      <w:pPr>
        <w:spacing w:line="360" w:lineRule="auto"/>
        <w:ind w:firstLine="560" w:firstLineChars="200"/>
        <w:rPr>
          <w:rFonts w:hAnsi="Times New Roman"/>
          <w:sz w:val="28"/>
          <w:szCs w:val="28"/>
        </w:rPr>
      </w:pPr>
      <w:r>
        <w:rPr>
          <w:rFonts w:hint="eastAsia" w:hAnsi="Times New Roman"/>
          <w:sz w:val="28"/>
          <w:szCs w:val="28"/>
        </w:rPr>
        <w:t>二、《申购</w:t>
      </w:r>
      <w:r>
        <w:rPr>
          <w:rFonts w:hAnsi="Times New Roman"/>
          <w:sz w:val="28"/>
          <w:szCs w:val="28"/>
        </w:rPr>
        <w:t>论证报告</w:t>
      </w:r>
      <w:r>
        <w:rPr>
          <w:rFonts w:hint="eastAsia" w:hAnsi="Times New Roman"/>
          <w:sz w:val="28"/>
          <w:szCs w:val="28"/>
        </w:rPr>
        <w:t>》</w:t>
      </w:r>
      <w:r>
        <w:rPr>
          <w:rFonts w:hAnsi="Times New Roman"/>
          <w:sz w:val="28"/>
          <w:szCs w:val="28"/>
        </w:rPr>
        <w:t>一式三份，经审核</w:t>
      </w:r>
      <w:r>
        <w:rPr>
          <w:rFonts w:hint="eastAsia" w:hAnsi="Times New Roman"/>
          <w:sz w:val="28"/>
          <w:szCs w:val="28"/>
        </w:rPr>
        <w:t>后</w:t>
      </w:r>
      <w:r>
        <w:rPr>
          <w:rFonts w:hAnsi="Times New Roman"/>
          <w:sz w:val="28"/>
          <w:szCs w:val="28"/>
        </w:rPr>
        <w:t>一份存实设处</w:t>
      </w:r>
      <w:r>
        <w:rPr>
          <w:rFonts w:hint="eastAsia" w:hAnsi="Times New Roman"/>
          <w:sz w:val="28"/>
          <w:szCs w:val="28"/>
        </w:rPr>
        <w:t>，</w:t>
      </w:r>
      <w:r>
        <w:rPr>
          <w:rFonts w:hAnsi="Times New Roman"/>
          <w:sz w:val="28"/>
          <w:szCs w:val="28"/>
        </w:rPr>
        <w:t>作为考核依据</w:t>
      </w:r>
      <w:r>
        <w:rPr>
          <w:rFonts w:hint="eastAsia" w:hAnsi="Times New Roman"/>
          <w:sz w:val="28"/>
          <w:szCs w:val="28"/>
        </w:rPr>
        <w:t>；一份存申请单位；一份申请人</w:t>
      </w:r>
      <w:r>
        <w:rPr>
          <w:rFonts w:hAnsi="Times New Roman"/>
          <w:sz w:val="28"/>
          <w:szCs w:val="28"/>
        </w:rPr>
        <w:t>待设备到货后</w:t>
      </w:r>
      <w:r>
        <w:rPr>
          <w:rFonts w:hint="eastAsia" w:hAnsi="Times New Roman"/>
          <w:sz w:val="28"/>
          <w:szCs w:val="28"/>
        </w:rPr>
        <w:t>存</w:t>
      </w:r>
      <w:r>
        <w:rPr>
          <w:rFonts w:hAnsi="Times New Roman"/>
          <w:sz w:val="28"/>
          <w:szCs w:val="28"/>
        </w:rPr>
        <w:t>入设备档案</w:t>
      </w:r>
      <w:r>
        <w:rPr>
          <w:rFonts w:hint="eastAsia" w:hAnsi="Times New Roman"/>
          <w:sz w:val="28"/>
          <w:szCs w:val="28"/>
        </w:rPr>
        <w:t>。</w:t>
      </w:r>
    </w:p>
    <w:p>
      <w:pPr>
        <w:pStyle w:val="5"/>
        <w:adjustRightInd w:val="0"/>
        <w:snapToGrid w:val="0"/>
        <w:spacing w:line="360" w:lineRule="auto"/>
        <w:ind w:firstLine="560" w:firstLineChars="200"/>
        <w:rPr>
          <w:rFonts w:hAnsi="Times New Roman" w:asciiTheme="minorHAnsi" w:eastAsiaTheme="minorEastAsia" w:cstheme="minorBidi"/>
          <w:sz w:val="28"/>
          <w:szCs w:val="28"/>
        </w:rPr>
      </w:pPr>
      <w:r>
        <w:rPr>
          <w:rFonts w:hint="eastAsia" w:hAnsi="Times New Roman" w:asciiTheme="minorHAnsi" w:eastAsiaTheme="minorEastAsia" w:cstheme="minorBidi"/>
          <w:sz w:val="28"/>
          <w:szCs w:val="28"/>
        </w:rPr>
        <w:t>三</w:t>
      </w:r>
      <w:r>
        <w:rPr>
          <w:rFonts w:hAnsi="Times New Roman" w:asciiTheme="minorHAnsi" w:eastAsiaTheme="minorEastAsia" w:cstheme="minorBidi"/>
          <w:sz w:val="28"/>
          <w:szCs w:val="28"/>
        </w:rPr>
        <w:t>、单价10</w:t>
      </w:r>
      <w:r>
        <w:rPr>
          <w:rFonts w:hint="eastAsia" w:hAnsi="Times New Roman" w:asciiTheme="minorHAnsi" w:eastAsiaTheme="minorEastAsia" w:cstheme="minorBidi"/>
          <w:sz w:val="28"/>
          <w:szCs w:val="28"/>
        </w:rPr>
        <w:t>-</w:t>
      </w:r>
      <w:r>
        <w:rPr>
          <w:rFonts w:hAnsi="Times New Roman" w:asciiTheme="minorHAnsi" w:eastAsiaTheme="minorEastAsia" w:cstheme="minorBidi"/>
          <w:sz w:val="28"/>
          <w:szCs w:val="28"/>
        </w:rPr>
        <w:t>40万元的仪器设备由</w:t>
      </w:r>
      <w:r>
        <w:rPr>
          <w:rFonts w:hint="eastAsia" w:hAnsi="Times New Roman" w:asciiTheme="minorHAnsi" w:eastAsiaTheme="minorEastAsia" w:cstheme="minorBidi"/>
          <w:sz w:val="28"/>
          <w:szCs w:val="28"/>
        </w:rPr>
        <w:t>各单位</w:t>
      </w:r>
      <w:r>
        <w:rPr>
          <w:rFonts w:hAnsi="Times New Roman" w:asciiTheme="minorHAnsi" w:eastAsiaTheme="minorEastAsia" w:cstheme="minorBidi"/>
          <w:sz w:val="28"/>
          <w:szCs w:val="28"/>
        </w:rPr>
        <w:t>自行组织</w:t>
      </w:r>
      <w:r>
        <w:rPr>
          <w:rFonts w:hint="eastAsia" w:hAnsi="Times New Roman" w:asciiTheme="minorHAnsi" w:eastAsiaTheme="minorEastAsia" w:cstheme="minorBidi"/>
          <w:sz w:val="28"/>
          <w:szCs w:val="28"/>
        </w:rPr>
        <w:t>5名</w:t>
      </w:r>
      <w:r>
        <w:rPr>
          <w:rFonts w:hAnsi="Times New Roman" w:asciiTheme="minorHAnsi" w:eastAsiaTheme="minorEastAsia" w:cstheme="minorBidi"/>
          <w:sz w:val="28"/>
          <w:szCs w:val="28"/>
        </w:rPr>
        <w:t>专家论证、评议；单价40万元</w:t>
      </w:r>
      <w:r>
        <w:rPr>
          <w:rFonts w:hint="eastAsia" w:hAnsi="Times New Roman" w:asciiTheme="minorHAnsi" w:eastAsiaTheme="minorEastAsia" w:cstheme="minorBidi"/>
          <w:sz w:val="28"/>
          <w:szCs w:val="28"/>
        </w:rPr>
        <w:t>（含）</w:t>
      </w:r>
      <w:r>
        <w:rPr>
          <w:rFonts w:hAnsi="Times New Roman" w:asciiTheme="minorHAnsi" w:eastAsiaTheme="minorEastAsia" w:cstheme="minorBidi"/>
          <w:sz w:val="28"/>
          <w:szCs w:val="28"/>
        </w:rPr>
        <w:t>以上的仪器设备由</w:t>
      </w:r>
      <w:r>
        <w:rPr>
          <w:rFonts w:hint="eastAsia" w:hAnsi="Times New Roman" w:asciiTheme="minorHAnsi" w:eastAsiaTheme="minorEastAsia" w:cstheme="minorBidi"/>
          <w:sz w:val="28"/>
          <w:szCs w:val="28"/>
        </w:rPr>
        <w:t>各单位</w:t>
      </w:r>
      <w:r>
        <w:rPr>
          <w:rFonts w:hAnsi="Times New Roman" w:asciiTheme="minorHAnsi" w:eastAsiaTheme="minorEastAsia" w:cstheme="minorBidi"/>
          <w:sz w:val="28"/>
          <w:szCs w:val="28"/>
        </w:rPr>
        <w:t>组织</w:t>
      </w:r>
      <w:r>
        <w:rPr>
          <w:rFonts w:hint="eastAsia" w:hAnsi="Times New Roman" w:asciiTheme="minorHAnsi" w:eastAsiaTheme="minorEastAsia" w:cstheme="minorBidi"/>
          <w:sz w:val="28"/>
          <w:szCs w:val="28"/>
        </w:rPr>
        <w:t>5名</w:t>
      </w:r>
      <w:r>
        <w:rPr>
          <w:rFonts w:hAnsi="Times New Roman" w:asciiTheme="minorHAnsi" w:eastAsiaTheme="minorEastAsia" w:cstheme="minorBidi"/>
          <w:sz w:val="28"/>
          <w:szCs w:val="28"/>
        </w:rPr>
        <w:t>专家（其中必须有校外专家）论证、评议，</w:t>
      </w:r>
      <w:r>
        <w:rPr>
          <w:rFonts w:hint="eastAsia" w:hAnsi="Times New Roman" w:asciiTheme="minorHAnsi" w:eastAsiaTheme="minorEastAsia" w:cstheme="minorBidi"/>
          <w:sz w:val="28"/>
          <w:szCs w:val="28"/>
        </w:rPr>
        <w:t>实设处</w:t>
      </w:r>
      <w:r>
        <w:rPr>
          <w:rFonts w:hAnsi="Times New Roman" w:asciiTheme="minorHAnsi" w:eastAsiaTheme="minorEastAsia" w:cstheme="minorBidi"/>
          <w:sz w:val="28"/>
          <w:szCs w:val="28"/>
        </w:rPr>
        <w:t>参与。</w:t>
      </w:r>
    </w:p>
    <w:p>
      <w:pPr>
        <w:pStyle w:val="20"/>
        <w:ind w:firstLine="560"/>
        <w:rPr>
          <w:rFonts w:hAnsi="Times New Roman" w:asciiTheme="minorHAnsi" w:eastAsiaTheme="minorEastAsia" w:cstheme="minorBidi"/>
          <w:color w:val="auto"/>
          <w:kern w:val="2"/>
          <w:sz w:val="28"/>
          <w:szCs w:val="28"/>
        </w:rPr>
      </w:pPr>
      <w:r>
        <w:rPr>
          <w:rFonts w:hint="eastAsia" w:hAnsi="Times New Roman" w:asciiTheme="minorHAnsi" w:eastAsiaTheme="minorEastAsia" w:cstheme="minorBidi"/>
          <w:color w:val="auto"/>
          <w:kern w:val="2"/>
          <w:sz w:val="28"/>
          <w:szCs w:val="28"/>
        </w:rPr>
        <w:t>四、如所购置仪器设备</w:t>
      </w:r>
      <w:r>
        <w:rPr>
          <w:rFonts w:hAnsi="Times New Roman" w:asciiTheme="minorHAnsi" w:eastAsiaTheme="minorEastAsia" w:cstheme="minorBidi"/>
          <w:color w:val="auto"/>
          <w:kern w:val="2"/>
          <w:sz w:val="28"/>
          <w:szCs w:val="28"/>
        </w:rPr>
        <w:t>(</w:t>
      </w:r>
      <w:r>
        <w:rPr>
          <w:rFonts w:hint="eastAsia" w:hAnsi="Times New Roman" w:asciiTheme="minorHAnsi" w:eastAsiaTheme="minorEastAsia" w:cstheme="minorBidi"/>
          <w:color w:val="auto"/>
          <w:kern w:val="2"/>
          <w:sz w:val="28"/>
          <w:szCs w:val="28"/>
        </w:rPr>
        <w:t>包括软件</w:t>
      </w:r>
      <w:r>
        <w:rPr>
          <w:rFonts w:hAnsi="Times New Roman" w:asciiTheme="minorHAnsi" w:eastAsiaTheme="minorEastAsia" w:cstheme="minorBidi"/>
          <w:color w:val="auto"/>
          <w:kern w:val="2"/>
          <w:sz w:val="28"/>
          <w:szCs w:val="28"/>
        </w:rPr>
        <w:t>)</w:t>
      </w:r>
      <w:r>
        <w:rPr>
          <w:rFonts w:hint="eastAsia" w:hAnsi="Times New Roman" w:asciiTheme="minorHAnsi" w:eastAsiaTheme="minorEastAsia" w:cstheme="minorBidi"/>
          <w:color w:val="auto"/>
          <w:kern w:val="2"/>
          <w:sz w:val="28"/>
          <w:szCs w:val="28"/>
        </w:rPr>
        <w:t>系原仪器设备附件、添置件、或扩大使用功能，请填写上原仪器设备的使用机时，培养人数等情况。</w:t>
      </w:r>
    </w:p>
    <w:p>
      <w:pPr>
        <w:pStyle w:val="20"/>
        <w:ind w:firstLine="560"/>
        <w:rPr>
          <w:rFonts w:hAnsi="Times New Roman" w:asciiTheme="minorHAnsi" w:eastAsiaTheme="minorEastAsia" w:cstheme="minorBidi"/>
          <w:color w:val="auto"/>
          <w:kern w:val="2"/>
          <w:sz w:val="28"/>
          <w:szCs w:val="28"/>
        </w:rPr>
      </w:pPr>
      <w:r>
        <w:rPr>
          <w:rFonts w:hint="eastAsia" w:hAnsi="Times New Roman" w:asciiTheme="minorHAnsi" w:eastAsiaTheme="minorEastAsia" w:cstheme="minorBidi"/>
          <w:color w:val="auto"/>
          <w:kern w:val="2"/>
          <w:sz w:val="28"/>
          <w:szCs w:val="28"/>
        </w:rPr>
        <w:t>五、本表必须逐项详细、如实填写。</w:t>
      </w:r>
    </w:p>
    <w:p>
      <w:pPr>
        <w:spacing w:line="300" w:lineRule="exact"/>
        <w:rPr>
          <w:sz w:val="32"/>
        </w:rPr>
      </w:pPr>
    </w:p>
    <w:p>
      <w:pPr>
        <w:spacing w:line="300" w:lineRule="exact"/>
        <w:rPr>
          <w:sz w:val="32"/>
        </w:rPr>
        <w:sectPr>
          <w:pgSz w:w="11907" w:h="16840"/>
          <w:pgMar w:top="1440" w:right="1021" w:bottom="1077" w:left="1191" w:header="851" w:footer="992" w:gutter="0"/>
          <w:pgNumType w:start="0"/>
          <w:cols w:space="425" w:num="1"/>
          <w:titlePg/>
          <w:docGrid w:type="lines" w:linePitch="312" w:charSpace="0"/>
        </w:sectPr>
      </w:pPr>
    </w:p>
    <w:tbl>
      <w:tblPr>
        <w:tblStyle w:val="10"/>
        <w:tblW w:w="96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410"/>
        <w:gridCol w:w="446"/>
        <w:gridCol w:w="489"/>
        <w:gridCol w:w="1475"/>
        <w:gridCol w:w="142"/>
        <w:gridCol w:w="283"/>
        <w:gridCol w:w="737"/>
        <w:gridCol w:w="256"/>
        <w:gridCol w:w="425"/>
        <w:gridCol w:w="1450"/>
        <w:gridCol w:w="347"/>
        <w:gridCol w:w="208"/>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2260" w:type="dxa"/>
            <w:gridSpan w:val="2"/>
            <w:vAlign w:val="center"/>
          </w:tcPr>
          <w:p>
            <w:pPr>
              <w:spacing w:line="300" w:lineRule="exact"/>
              <w:rPr>
                <w:rFonts w:ascii="宋体" w:hAnsi="宋体"/>
                <w:sz w:val="24"/>
              </w:rPr>
            </w:pPr>
            <w:r>
              <w:rPr>
                <w:rFonts w:eastAsia="仿宋_GB2312"/>
                <w:bCs/>
                <w:sz w:val="36"/>
              </w:rPr>
              <w:br w:type="page"/>
            </w:r>
            <w:r>
              <w:rPr>
                <w:rFonts w:hint="eastAsia" w:ascii="宋体" w:hAnsi="宋体"/>
                <w:sz w:val="24"/>
              </w:rPr>
              <w:t>仪器设备中文名称</w:t>
            </w:r>
          </w:p>
        </w:tc>
        <w:tc>
          <w:tcPr>
            <w:tcW w:w="7419" w:type="dxa"/>
            <w:gridSpan w:val="12"/>
            <w:vAlign w:val="center"/>
          </w:tcPr>
          <w:p>
            <w:pPr>
              <w:spacing w:line="300" w:lineRule="exact"/>
              <w:jc w:val="center"/>
              <w:rPr>
                <w:rFonts w:eastAsia="仿宋_GB2312"/>
                <w:sz w:val="24"/>
              </w:rPr>
            </w:pPr>
            <w:r>
              <w:rPr>
                <w:rFonts w:hint="eastAsia" w:eastAsia="仿宋_GB2312"/>
                <w:sz w:val="24"/>
              </w:rPr>
              <w:t>数据实验平台及教学管理平台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jc w:val="center"/>
        </w:trPr>
        <w:tc>
          <w:tcPr>
            <w:tcW w:w="2260" w:type="dxa"/>
            <w:gridSpan w:val="2"/>
            <w:vAlign w:val="center"/>
          </w:tcPr>
          <w:p>
            <w:pPr>
              <w:spacing w:line="300" w:lineRule="exact"/>
              <w:jc w:val="left"/>
              <w:rPr>
                <w:rFonts w:ascii="宋体" w:hAnsi="宋体"/>
                <w:sz w:val="24"/>
              </w:rPr>
            </w:pPr>
            <w:r>
              <w:rPr>
                <w:rFonts w:hint="eastAsia" w:ascii="宋体" w:hAnsi="宋体"/>
                <w:sz w:val="24"/>
              </w:rPr>
              <w:t>仪器设备外文名称</w:t>
            </w:r>
          </w:p>
        </w:tc>
        <w:tc>
          <w:tcPr>
            <w:tcW w:w="7419" w:type="dxa"/>
            <w:gridSpan w:val="12"/>
            <w:vAlign w:val="center"/>
          </w:tcPr>
          <w:p>
            <w:pPr>
              <w:spacing w:line="300" w:lineRule="exact"/>
              <w:jc w:val="center"/>
              <w:rPr>
                <w:rFonts w:eastAsia="仿宋_GB2312"/>
                <w:sz w:val="24"/>
              </w:rPr>
            </w:pPr>
            <w:r>
              <w:rPr>
                <w:rFonts w:hint="eastAsia"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jc w:val="center"/>
        </w:trPr>
        <w:tc>
          <w:tcPr>
            <w:tcW w:w="2260" w:type="dxa"/>
            <w:gridSpan w:val="2"/>
            <w:vAlign w:val="center"/>
          </w:tcPr>
          <w:p>
            <w:pPr>
              <w:spacing w:line="300" w:lineRule="exact"/>
              <w:jc w:val="left"/>
              <w:rPr>
                <w:rFonts w:ascii="宋体" w:hAnsi="宋体"/>
                <w:sz w:val="24"/>
              </w:rPr>
            </w:pPr>
            <w:r>
              <w:rPr>
                <w:rFonts w:hint="eastAsia" w:ascii="宋体" w:hAnsi="宋体"/>
                <w:sz w:val="24"/>
              </w:rPr>
              <w:t>型号规格</w:t>
            </w:r>
          </w:p>
        </w:tc>
        <w:tc>
          <w:tcPr>
            <w:tcW w:w="2410" w:type="dxa"/>
            <w:gridSpan w:val="3"/>
            <w:vAlign w:val="center"/>
          </w:tcPr>
          <w:p>
            <w:pPr>
              <w:spacing w:line="300" w:lineRule="exact"/>
              <w:jc w:val="center"/>
              <w:rPr>
                <w:rFonts w:eastAsia="仿宋_GB2312"/>
                <w:sz w:val="24"/>
              </w:rPr>
            </w:pPr>
            <w:r>
              <w:rPr>
                <w:rFonts w:hint="eastAsia" w:asciiTheme="minorEastAsia" w:hAnsiTheme="minorEastAsia" w:cstheme="minorEastAsia"/>
                <w:color w:val="000008"/>
                <w:kern w:val="0"/>
                <w:szCs w:val="21"/>
              </w:rPr>
              <w:t>实验室教学管理平台</w:t>
            </w:r>
            <w:r>
              <w:rPr>
                <w:rFonts w:hint="eastAsia" w:eastAsia="仿宋_GB2312"/>
                <w:sz w:val="24"/>
              </w:rPr>
              <w:t>V</w:t>
            </w:r>
            <w:r>
              <w:rPr>
                <w:rFonts w:eastAsia="仿宋_GB2312"/>
                <w:sz w:val="24"/>
              </w:rPr>
              <w:t>1.0</w:t>
            </w:r>
          </w:p>
        </w:tc>
        <w:tc>
          <w:tcPr>
            <w:tcW w:w="1418" w:type="dxa"/>
            <w:gridSpan w:val="4"/>
            <w:vAlign w:val="center"/>
          </w:tcPr>
          <w:p>
            <w:pPr>
              <w:spacing w:line="300" w:lineRule="exact"/>
              <w:jc w:val="center"/>
              <w:rPr>
                <w:rFonts w:eastAsia="仿宋_GB2312"/>
                <w:sz w:val="24"/>
              </w:rPr>
            </w:pPr>
            <w:r>
              <w:rPr>
                <w:rFonts w:hint="eastAsia" w:ascii="宋体" w:hAnsi="宋体"/>
                <w:sz w:val="24"/>
              </w:rPr>
              <w:t>设备</w:t>
            </w:r>
            <w:r>
              <w:rPr>
                <w:rFonts w:ascii="宋体" w:hAnsi="宋体"/>
                <w:sz w:val="24"/>
              </w:rPr>
              <w:t>属性</w:t>
            </w:r>
          </w:p>
        </w:tc>
        <w:tc>
          <w:tcPr>
            <w:tcW w:w="3591" w:type="dxa"/>
            <w:gridSpan w:val="5"/>
            <w:vAlign w:val="center"/>
          </w:tcPr>
          <w:p>
            <w:pPr>
              <w:spacing w:line="300" w:lineRule="exact"/>
              <w:jc w:val="center"/>
              <w:rPr>
                <w:rFonts w:eastAsia="仿宋_GB2312"/>
                <w:sz w:val="24"/>
              </w:rPr>
            </w:pPr>
            <w:r>
              <w:rPr>
                <w:rFonts w:hint="eastAsia" w:asciiTheme="minorEastAsia" w:hAnsiTheme="minorEastAsia"/>
                <w:sz w:val="24"/>
              </w:rPr>
              <w:t>□</w:t>
            </w:r>
            <w:r>
              <w:rPr>
                <w:rFonts w:hint="eastAsia" w:ascii="宋体" w:hAnsi="宋体"/>
                <w:sz w:val="24"/>
              </w:rPr>
              <w:t xml:space="preserve">通用  </w:t>
            </w:r>
            <w:r>
              <w:rPr>
                <w:rFonts w:hint="eastAsia" w:ascii="宋体" w:hAnsi="宋体" w:eastAsia="宋体"/>
                <w:sz w:val="24"/>
              </w:rPr>
              <w:t>√</w:t>
            </w:r>
            <w:r>
              <w:rPr>
                <w:rFonts w:hint="eastAsia" w:ascii="宋体" w:hAnsi="宋体"/>
                <w:sz w:val="24"/>
              </w:rPr>
              <w:t>专用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jc w:val="center"/>
        </w:trPr>
        <w:tc>
          <w:tcPr>
            <w:tcW w:w="2260" w:type="dxa"/>
            <w:gridSpan w:val="2"/>
            <w:vAlign w:val="center"/>
          </w:tcPr>
          <w:p>
            <w:pPr>
              <w:spacing w:line="300" w:lineRule="exact"/>
              <w:jc w:val="left"/>
              <w:rPr>
                <w:rFonts w:ascii="宋体" w:hAnsi="宋体"/>
                <w:sz w:val="24"/>
              </w:rPr>
            </w:pPr>
            <w:r>
              <w:rPr>
                <w:rFonts w:hint="eastAsia" w:ascii="宋体" w:hAnsi="宋体"/>
                <w:sz w:val="24"/>
              </w:rPr>
              <w:t>申购</w:t>
            </w:r>
            <w:r>
              <w:rPr>
                <w:rFonts w:ascii="宋体" w:hAnsi="宋体"/>
                <w:sz w:val="24"/>
              </w:rPr>
              <w:t>类别</w:t>
            </w:r>
          </w:p>
        </w:tc>
        <w:tc>
          <w:tcPr>
            <w:tcW w:w="7419" w:type="dxa"/>
            <w:gridSpan w:val="12"/>
            <w:vAlign w:val="center"/>
          </w:tcPr>
          <w:p>
            <w:pPr>
              <w:spacing w:line="300" w:lineRule="exact"/>
              <w:jc w:val="center"/>
              <w:rPr>
                <w:rFonts w:asciiTheme="minorEastAsia" w:hAnsiTheme="minorEastAsia"/>
                <w:sz w:val="24"/>
              </w:rPr>
            </w:pPr>
            <w:r>
              <w:rPr>
                <w:rFonts w:hint="eastAsia" w:asciiTheme="minorEastAsia" w:hAnsiTheme="minorEastAsia"/>
                <w:sz w:val="24"/>
              </w:rPr>
              <w:t>新增</w:t>
            </w:r>
            <w:r>
              <w:rPr>
                <w:rFonts w:asciiTheme="minorEastAsia" w:hAnsiTheme="minorEastAsia"/>
                <w:sz w:val="24"/>
              </w:rPr>
              <w:t>（</w:t>
            </w:r>
            <w:r>
              <w:rPr>
                <w:rFonts w:hint="eastAsia" w:asciiTheme="minorEastAsia" w:hAnsiTheme="minorEastAsia"/>
                <w:sz w:val="24"/>
              </w:rPr>
              <w:t xml:space="preserve"> √ </w:t>
            </w:r>
            <w:r>
              <w:rPr>
                <w:rFonts w:asciiTheme="minorEastAsia" w:hAnsiTheme="minorEastAsia"/>
                <w:sz w:val="24"/>
              </w:rPr>
              <w:t>）</w:t>
            </w:r>
            <w:r>
              <w:rPr>
                <w:rFonts w:hint="eastAsia" w:asciiTheme="minorEastAsia" w:hAnsiTheme="minorEastAsia"/>
                <w:sz w:val="24"/>
              </w:rPr>
              <w:t xml:space="preserve">  </w:t>
            </w:r>
            <w:r>
              <w:rPr>
                <w:rFonts w:asciiTheme="minorEastAsia" w:hAnsiTheme="minorEastAsia"/>
                <w:sz w:val="24"/>
              </w:rPr>
              <w:t xml:space="preserve">     </w:t>
            </w:r>
            <w:r>
              <w:rPr>
                <w:rFonts w:hint="eastAsia" w:asciiTheme="minorEastAsia" w:hAnsiTheme="minorEastAsia"/>
                <w:sz w:val="24"/>
              </w:rPr>
              <w:t xml:space="preserve">  更新</w:t>
            </w:r>
            <w:r>
              <w:rPr>
                <w:rFonts w:asciiTheme="minorEastAsia" w:hAnsiTheme="minorEastAsia"/>
                <w:sz w:val="24"/>
              </w:rPr>
              <w:t>（</w:t>
            </w:r>
            <w:r>
              <w:rPr>
                <w:rFonts w:hint="eastAsia" w:asciiTheme="minorEastAsia" w:hAnsiTheme="minorEastAsia"/>
                <w:sz w:val="24"/>
              </w:rPr>
              <w:t xml:space="preserve">  </w:t>
            </w:r>
            <w:r>
              <w:rPr>
                <w:rFonts w:asciiTheme="minorEastAsia" w:hAnsiTheme="minorEastAsia"/>
                <w:sz w:val="24"/>
              </w:rPr>
              <w:t xml:space="preserve"> </w:t>
            </w:r>
            <w:r>
              <w:rPr>
                <w:rFonts w:hint="eastAsia" w:asciiTheme="minorEastAsia" w:hAnsiTheme="minorEastAsia"/>
                <w:sz w:val="24"/>
              </w:rPr>
              <w:t xml:space="preserve"> </w:t>
            </w:r>
            <w:r>
              <w:rPr>
                <w:rFonts w:asciiTheme="minorEastAsia" w:hAnsiTheme="minorEastAsia"/>
                <w:sz w:val="24"/>
              </w:rPr>
              <w:t>）</w:t>
            </w:r>
            <w:r>
              <w:rPr>
                <w:rFonts w:hint="eastAsia" w:asciiTheme="minorEastAsia" w:hAnsiTheme="minorEastAsia"/>
                <w:sz w:val="24"/>
              </w:rPr>
              <w:t xml:space="preserve"> </w:t>
            </w:r>
            <w:r>
              <w:rPr>
                <w:rFonts w:asciiTheme="minorEastAsia" w:hAnsiTheme="minorEastAsia"/>
                <w:sz w:val="24"/>
              </w:rPr>
              <w:t xml:space="preserve"> </w:t>
            </w:r>
            <w:r>
              <w:rPr>
                <w:rFonts w:hint="eastAsia" w:asciiTheme="minorEastAsia" w:hAnsiTheme="minorEastAsia"/>
                <w:sz w:val="24"/>
              </w:rPr>
              <w:t xml:space="preserve">    配套</w:t>
            </w:r>
            <w:r>
              <w:rPr>
                <w:rFonts w:asciiTheme="minorEastAsia" w:hAnsiTheme="minorEastAsia"/>
                <w:sz w:val="24"/>
              </w:rPr>
              <w:t>（</w:t>
            </w:r>
            <w:r>
              <w:rPr>
                <w:rFonts w:hint="eastAsia" w:asciiTheme="minorEastAsia" w:hAnsiTheme="minorEastAsia"/>
                <w:sz w:val="24"/>
              </w:rPr>
              <w:t xml:space="preserve">   </w:t>
            </w:r>
            <w:r>
              <w:rPr>
                <w:rFonts w:asciiTheme="minorEastAsia" w:hAnsiTheme="minor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2260" w:type="dxa"/>
            <w:gridSpan w:val="2"/>
            <w:vMerge w:val="restart"/>
            <w:vAlign w:val="center"/>
          </w:tcPr>
          <w:p>
            <w:pPr>
              <w:spacing w:line="300" w:lineRule="exact"/>
              <w:jc w:val="left"/>
              <w:rPr>
                <w:rFonts w:ascii="宋体" w:hAnsi="宋体"/>
                <w:sz w:val="24"/>
              </w:rPr>
            </w:pPr>
            <w:r>
              <w:rPr>
                <w:rFonts w:hint="eastAsia" w:ascii="宋体" w:hAnsi="宋体"/>
                <w:sz w:val="24"/>
              </w:rPr>
              <w:t>申购数量</w:t>
            </w:r>
          </w:p>
        </w:tc>
        <w:tc>
          <w:tcPr>
            <w:tcW w:w="2410" w:type="dxa"/>
            <w:gridSpan w:val="3"/>
            <w:vMerge w:val="restart"/>
            <w:vAlign w:val="center"/>
          </w:tcPr>
          <w:p>
            <w:pPr>
              <w:spacing w:line="300" w:lineRule="exact"/>
              <w:jc w:val="center"/>
              <w:rPr>
                <w:rFonts w:ascii="仿宋_GB2312" w:eastAsia="仿宋_GB2312"/>
                <w:sz w:val="24"/>
              </w:rPr>
            </w:pPr>
            <w:r>
              <w:rPr>
                <w:rFonts w:hint="eastAsia" w:ascii="仿宋_GB2312" w:eastAsia="仿宋_GB2312"/>
                <w:sz w:val="24"/>
              </w:rPr>
              <w:t>1</w:t>
            </w:r>
          </w:p>
        </w:tc>
        <w:tc>
          <w:tcPr>
            <w:tcW w:w="1418" w:type="dxa"/>
            <w:gridSpan w:val="4"/>
            <w:vMerge w:val="restart"/>
            <w:vAlign w:val="center"/>
          </w:tcPr>
          <w:p>
            <w:pPr>
              <w:spacing w:line="300" w:lineRule="exact"/>
              <w:jc w:val="center"/>
              <w:rPr>
                <w:rFonts w:ascii="仿宋_GB2312" w:eastAsia="仿宋_GB2312"/>
                <w:sz w:val="24"/>
              </w:rPr>
            </w:pPr>
            <w:r>
              <w:rPr>
                <w:rFonts w:hint="eastAsia" w:ascii="宋体" w:hAnsi="宋体"/>
                <w:sz w:val="24"/>
              </w:rPr>
              <w:t>单价估计</w:t>
            </w:r>
          </w:p>
        </w:tc>
        <w:tc>
          <w:tcPr>
            <w:tcW w:w="3591" w:type="dxa"/>
            <w:gridSpan w:val="5"/>
            <w:vAlign w:val="center"/>
          </w:tcPr>
          <w:p>
            <w:pPr>
              <w:spacing w:line="300" w:lineRule="exact"/>
              <w:rPr>
                <w:rFonts w:ascii="仿宋_GB2312" w:eastAsia="仿宋_GB2312"/>
                <w:sz w:val="24"/>
              </w:rPr>
            </w:pPr>
            <w:r>
              <w:rPr>
                <w:rFonts w:hint="eastAsia" w:ascii="宋体" w:hAnsi="宋体"/>
                <w:szCs w:val="21"/>
              </w:rPr>
              <w:t>人民币(元)：</w:t>
            </w:r>
            <w:r>
              <w:rPr>
                <w:rFonts w:hint="eastAsia" w:ascii="仿宋_GB2312" w:eastAsia="仿宋_GB2312"/>
                <w:sz w:val="24"/>
              </w:rPr>
              <w:t>18</w:t>
            </w:r>
            <w:r>
              <w:rPr>
                <w:rFonts w:ascii="仿宋_GB2312" w:eastAsia="仿宋_GB2312"/>
                <w:sz w:val="24"/>
              </w:rPr>
              <w:t>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2260" w:type="dxa"/>
            <w:gridSpan w:val="2"/>
            <w:vMerge w:val="continue"/>
            <w:vAlign w:val="center"/>
          </w:tcPr>
          <w:p>
            <w:pPr>
              <w:spacing w:line="300" w:lineRule="exact"/>
              <w:jc w:val="center"/>
              <w:rPr>
                <w:rFonts w:ascii="宋体" w:hAnsi="宋体"/>
                <w:sz w:val="24"/>
              </w:rPr>
            </w:pPr>
          </w:p>
        </w:tc>
        <w:tc>
          <w:tcPr>
            <w:tcW w:w="2410" w:type="dxa"/>
            <w:gridSpan w:val="3"/>
            <w:vMerge w:val="continue"/>
            <w:vAlign w:val="center"/>
          </w:tcPr>
          <w:p>
            <w:pPr>
              <w:spacing w:line="300" w:lineRule="exact"/>
              <w:jc w:val="center"/>
              <w:rPr>
                <w:rFonts w:ascii="仿宋_GB2312" w:eastAsia="仿宋_GB2312"/>
                <w:sz w:val="24"/>
              </w:rPr>
            </w:pPr>
          </w:p>
        </w:tc>
        <w:tc>
          <w:tcPr>
            <w:tcW w:w="1418" w:type="dxa"/>
            <w:gridSpan w:val="4"/>
            <w:vMerge w:val="continue"/>
            <w:vAlign w:val="center"/>
          </w:tcPr>
          <w:p>
            <w:pPr>
              <w:spacing w:line="300" w:lineRule="exact"/>
              <w:jc w:val="center"/>
              <w:rPr>
                <w:rFonts w:ascii="宋体" w:hAnsi="宋体"/>
                <w:sz w:val="24"/>
              </w:rPr>
            </w:pPr>
          </w:p>
        </w:tc>
        <w:tc>
          <w:tcPr>
            <w:tcW w:w="3591" w:type="dxa"/>
            <w:gridSpan w:val="5"/>
            <w:vAlign w:val="center"/>
          </w:tcPr>
          <w:p>
            <w:pPr>
              <w:spacing w:line="300" w:lineRule="exact"/>
              <w:rPr>
                <w:rFonts w:ascii="仿宋_GB2312" w:eastAsia="仿宋_GB2312"/>
                <w:sz w:val="24"/>
              </w:rPr>
            </w:pPr>
            <w:r>
              <w:rPr>
                <w:rFonts w:hint="eastAsia" w:ascii="宋体" w:hAnsi="宋体"/>
                <w:szCs w:val="21"/>
              </w:rPr>
              <w:t>(折合)外币：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1" w:hRule="atLeast"/>
          <w:jc w:val="center"/>
        </w:trPr>
        <w:tc>
          <w:tcPr>
            <w:tcW w:w="850" w:type="dxa"/>
            <w:tcBorders>
              <w:bottom w:val="single" w:color="auto" w:sz="4" w:space="0"/>
            </w:tcBorders>
            <w:vAlign w:val="center"/>
          </w:tcPr>
          <w:p>
            <w:pPr>
              <w:spacing w:line="360" w:lineRule="exact"/>
              <w:jc w:val="center"/>
              <w:rPr>
                <w:rFonts w:ascii="宋体" w:hAnsi="宋体"/>
                <w:bCs/>
                <w:spacing w:val="16"/>
                <w:sz w:val="28"/>
                <w:szCs w:val="28"/>
              </w:rPr>
            </w:pPr>
            <w:r>
              <w:rPr>
                <w:rFonts w:hint="eastAsia" w:ascii="宋体" w:hAnsi="宋体"/>
                <w:bCs/>
                <w:spacing w:val="16"/>
                <w:sz w:val="28"/>
                <w:szCs w:val="28"/>
              </w:rPr>
              <w:t>主</w:t>
            </w:r>
          </w:p>
          <w:p>
            <w:pPr>
              <w:spacing w:line="360" w:lineRule="exact"/>
              <w:jc w:val="center"/>
              <w:rPr>
                <w:rFonts w:ascii="宋体" w:hAnsi="宋体"/>
                <w:bCs/>
                <w:spacing w:val="16"/>
                <w:sz w:val="28"/>
                <w:szCs w:val="28"/>
              </w:rPr>
            </w:pPr>
            <w:r>
              <w:rPr>
                <w:rFonts w:hint="eastAsia" w:ascii="宋体" w:hAnsi="宋体"/>
                <w:bCs/>
                <w:spacing w:val="16"/>
                <w:sz w:val="28"/>
                <w:szCs w:val="28"/>
              </w:rPr>
              <w:t>要</w:t>
            </w:r>
          </w:p>
          <w:p>
            <w:pPr>
              <w:spacing w:line="360" w:lineRule="exact"/>
              <w:jc w:val="center"/>
              <w:rPr>
                <w:rFonts w:ascii="宋体" w:hAnsi="宋体"/>
                <w:bCs/>
                <w:spacing w:val="16"/>
                <w:sz w:val="28"/>
                <w:szCs w:val="28"/>
              </w:rPr>
            </w:pPr>
            <w:r>
              <w:rPr>
                <w:rFonts w:hint="eastAsia" w:ascii="宋体" w:hAnsi="宋体"/>
                <w:bCs/>
                <w:spacing w:val="16"/>
                <w:sz w:val="28"/>
                <w:szCs w:val="28"/>
              </w:rPr>
              <w:t>技</w:t>
            </w:r>
          </w:p>
          <w:p>
            <w:pPr>
              <w:spacing w:line="360" w:lineRule="exact"/>
              <w:jc w:val="center"/>
              <w:rPr>
                <w:rFonts w:ascii="宋体" w:hAnsi="宋体"/>
                <w:bCs/>
                <w:spacing w:val="16"/>
                <w:sz w:val="28"/>
                <w:szCs w:val="28"/>
              </w:rPr>
            </w:pPr>
            <w:r>
              <w:rPr>
                <w:rFonts w:hint="eastAsia" w:ascii="宋体" w:hAnsi="宋体"/>
                <w:bCs/>
                <w:spacing w:val="16"/>
                <w:sz w:val="28"/>
                <w:szCs w:val="28"/>
              </w:rPr>
              <w:t>术</w:t>
            </w:r>
          </w:p>
          <w:p>
            <w:pPr>
              <w:spacing w:line="360" w:lineRule="exact"/>
              <w:jc w:val="center"/>
              <w:rPr>
                <w:rFonts w:ascii="宋体" w:hAnsi="宋体"/>
                <w:bCs/>
                <w:spacing w:val="16"/>
                <w:sz w:val="28"/>
                <w:szCs w:val="28"/>
              </w:rPr>
            </w:pPr>
            <w:r>
              <w:rPr>
                <w:rFonts w:hint="eastAsia" w:ascii="宋体" w:hAnsi="宋体"/>
                <w:bCs/>
                <w:spacing w:val="16"/>
                <w:sz w:val="28"/>
                <w:szCs w:val="28"/>
              </w:rPr>
              <w:t>指 标、</w:t>
            </w:r>
            <w:r>
              <w:rPr>
                <w:rFonts w:ascii="宋体" w:hAnsi="宋体"/>
                <w:bCs/>
                <w:spacing w:val="16"/>
                <w:sz w:val="28"/>
                <w:szCs w:val="28"/>
              </w:rPr>
              <w:t>特</w:t>
            </w:r>
          </w:p>
          <w:p>
            <w:pPr>
              <w:spacing w:line="360" w:lineRule="exact"/>
              <w:jc w:val="center"/>
              <w:rPr>
                <w:rFonts w:ascii="宋体" w:hAnsi="宋体"/>
                <w:bCs/>
                <w:spacing w:val="16"/>
                <w:sz w:val="28"/>
                <w:szCs w:val="28"/>
              </w:rPr>
            </w:pPr>
            <w:r>
              <w:rPr>
                <w:rFonts w:ascii="宋体" w:hAnsi="宋体"/>
                <w:bCs/>
                <w:spacing w:val="16"/>
                <w:sz w:val="28"/>
                <w:szCs w:val="28"/>
              </w:rPr>
              <w:t>点</w:t>
            </w:r>
          </w:p>
          <w:p>
            <w:pPr>
              <w:spacing w:line="360" w:lineRule="exact"/>
              <w:jc w:val="center"/>
              <w:rPr>
                <w:rFonts w:ascii="宋体" w:hAnsi="宋体"/>
                <w:bCs/>
                <w:spacing w:val="16"/>
                <w:sz w:val="28"/>
                <w:szCs w:val="28"/>
              </w:rPr>
            </w:pPr>
            <w:r>
              <w:rPr>
                <w:rFonts w:ascii="宋体" w:hAnsi="宋体"/>
                <w:bCs/>
                <w:spacing w:val="16"/>
                <w:sz w:val="28"/>
                <w:szCs w:val="28"/>
              </w:rPr>
              <w:t>及</w:t>
            </w:r>
          </w:p>
          <w:p>
            <w:pPr>
              <w:spacing w:line="360" w:lineRule="exact"/>
              <w:jc w:val="center"/>
              <w:rPr>
                <w:rFonts w:ascii="宋体" w:hAnsi="宋体"/>
                <w:bCs/>
                <w:spacing w:val="16"/>
                <w:sz w:val="28"/>
                <w:szCs w:val="28"/>
              </w:rPr>
            </w:pPr>
            <w:r>
              <w:rPr>
                <w:rFonts w:ascii="宋体" w:hAnsi="宋体"/>
                <w:bCs/>
                <w:spacing w:val="16"/>
                <w:sz w:val="28"/>
                <w:szCs w:val="28"/>
              </w:rPr>
              <w:t>用</w:t>
            </w:r>
          </w:p>
          <w:p>
            <w:pPr>
              <w:spacing w:line="360" w:lineRule="exact"/>
              <w:jc w:val="center"/>
              <w:rPr>
                <w:rFonts w:ascii="宋体" w:hAnsi="宋体" w:cs="宋体"/>
                <w:sz w:val="18"/>
                <w:szCs w:val="18"/>
              </w:rPr>
            </w:pPr>
            <w:r>
              <w:rPr>
                <w:rFonts w:ascii="宋体" w:hAnsi="宋体"/>
                <w:bCs/>
                <w:spacing w:val="16"/>
                <w:sz w:val="28"/>
                <w:szCs w:val="28"/>
              </w:rPr>
              <w:t>途</w:t>
            </w:r>
          </w:p>
        </w:tc>
        <w:tc>
          <w:tcPr>
            <w:tcW w:w="8829" w:type="dxa"/>
            <w:gridSpan w:val="13"/>
          </w:tcPr>
          <w:p>
            <w:pPr>
              <w:spacing w:line="360" w:lineRule="atLeast"/>
              <w:rPr>
                <w:rFonts w:ascii="宋体" w:hAnsi="宋体" w:cs="宋体"/>
                <w:b/>
                <w:sz w:val="18"/>
                <w:szCs w:val="18"/>
              </w:rPr>
            </w:pPr>
            <w:r>
              <w:rPr>
                <w:rFonts w:hint="eastAsia" w:ascii="宋体" w:hAnsi="宋体" w:cs="宋体"/>
                <w:b/>
                <w:sz w:val="18"/>
                <w:szCs w:val="18"/>
              </w:rPr>
              <w:t>主要技术</w:t>
            </w:r>
            <w:r>
              <w:rPr>
                <w:rFonts w:ascii="宋体" w:hAnsi="宋体" w:cs="宋体"/>
                <w:b/>
                <w:sz w:val="18"/>
                <w:szCs w:val="18"/>
              </w:rPr>
              <w:t>指标</w:t>
            </w:r>
            <w:r>
              <w:rPr>
                <w:rFonts w:hint="eastAsia" w:ascii="宋体" w:hAnsi="宋体" w:cs="宋体"/>
                <w:b/>
                <w:sz w:val="18"/>
                <w:szCs w:val="18"/>
              </w:rPr>
              <w:t>、</w:t>
            </w:r>
            <w:r>
              <w:rPr>
                <w:rFonts w:ascii="宋体" w:hAnsi="宋体" w:cs="宋体"/>
                <w:b/>
                <w:sz w:val="18"/>
                <w:szCs w:val="18"/>
              </w:rPr>
              <w:t>特点：</w:t>
            </w:r>
          </w:p>
          <w:p>
            <w:pPr>
              <w:spacing w:line="360" w:lineRule="atLeast"/>
              <w:rPr>
                <w:rFonts w:ascii="宋体" w:hAnsi="宋体" w:cs="宋体"/>
                <w:sz w:val="18"/>
                <w:szCs w:val="18"/>
              </w:rPr>
            </w:pPr>
            <w:r>
              <w:rPr>
                <w:rFonts w:hint="eastAsia" w:ascii="宋体" w:hAnsi="宋体" w:cs="宋体"/>
                <w:sz w:val="18"/>
                <w:szCs w:val="18"/>
              </w:rPr>
              <w:t>数据实验平台及教学管理平台包含如下：</w:t>
            </w:r>
          </w:p>
          <w:p>
            <w:pPr>
              <w:widowControl/>
              <w:jc w:val="left"/>
              <w:rPr>
                <w:rFonts w:ascii="宋体" w:hAnsi="宋体" w:cs="宋体"/>
                <w:b/>
                <w:sz w:val="18"/>
                <w:szCs w:val="18"/>
              </w:rPr>
            </w:pPr>
            <w:r>
              <w:rPr>
                <w:rFonts w:hint="eastAsia" w:ascii="宋体" w:hAnsi="宋体" w:cs="宋体"/>
                <w:b/>
                <w:sz w:val="18"/>
                <w:szCs w:val="18"/>
              </w:rPr>
              <w:t>实验开发与管理平台：</w:t>
            </w:r>
          </w:p>
          <w:p>
            <w:pPr>
              <w:widowControl/>
              <w:jc w:val="left"/>
              <w:rPr>
                <w:rFonts w:ascii="宋体" w:hAnsi="宋体" w:cs="宋体"/>
                <w:sz w:val="18"/>
                <w:szCs w:val="18"/>
              </w:rPr>
            </w:pPr>
            <w:r>
              <w:rPr>
                <w:rFonts w:hint="eastAsia" w:ascii="宋体" w:hAnsi="宋体" w:cs="宋体"/>
                <w:b/>
                <w:bCs/>
                <w:sz w:val="18"/>
                <w:szCs w:val="18"/>
              </w:rPr>
              <w:t>1、镜像管理</w:t>
            </w:r>
            <w:r>
              <w:rPr>
                <w:rFonts w:hint="eastAsia" w:ascii="宋体" w:hAnsi="宋体" w:cs="宋体"/>
                <w:sz w:val="18"/>
                <w:szCs w:val="18"/>
              </w:rPr>
              <w:t>:平台可支持centos、VNC、jupyter notebook以及Windows环境类型,系统提供基础镜像，主要包含centos、VNC、jupyter notebook。同时支持自建镜像，支持创建虚机集群，每台虚拟主机上可自定义多个环境变量，支持对每台虚拟机进行不同的内存规格配置、挂载及依赖配置，支持多服务端口配置。</w:t>
            </w:r>
          </w:p>
          <w:p>
            <w:pPr>
              <w:widowControl/>
              <w:jc w:val="left"/>
              <w:rPr>
                <w:rFonts w:ascii="宋体" w:hAnsi="宋体" w:cs="宋体"/>
                <w:sz w:val="18"/>
                <w:szCs w:val="18"/>
              </w:rPr>
            </w:pPr>
            <w:r>
              <w:rPr>
                <w:rFonts w:hint="eastAsia" w:ascii="宋体" w:hAnsi="宋体" w:cs="宋体"/>
                <w:b/>
                <w:bCs/>
                <w:sz w:val="18"/>
                <w:szCs w:val="18"/>
              </w:rPr>
              <w:t>2、实验管理</w:t>
            </w:r>
            <w:r>
              <w:rPr>
                <w:rFonts w:hint="eastAsia" w:ascii="宋体" w:hAnsi="宋体" w:cs="宋体"/>
                <w:sz w:val="18"/>
                <w:szCs w:val="18"/>
              </w:rPr>
              <w:t>：系统支持新建/编辑/删除实验，可设置实验名称、实验时长、实验难度、实验简介、实验目标、实验学科层次等信息字段，可便捷关联实验镜像，通过实验列表，可设置实验发布/下线状态，可快捷进行上机验证。实验支持实验手册与编译环境一体化，可拖动调整界面比例，也可一键收起实验手册。</w:t>
            </w:r>
          </w:p>
          <w:p>
            <w:pPr>
              <w:widowControl/>
              <w:jc w:val="left"/>
              <w:rPr>
                <w:rFonts w:ascii="宋体" w:hAnsi="宋体" w:cs="宋体"/>
                <w:b/>
                <w:sz w:val="18"/>
                <w:szCs w:val="18"/>
              </w:rPr>
            </w:pPr>
            <w:r>
              <w:rPr>
                <w:rFonts w:hint="eastAsia" w:ascii="宋体" w:hAnsi="宋体" w:cs="宋体"/>
                <w:b/>
                <w:sz w:val="18"/>
                <w:szCs w:val="18"/>
              </w:rPr>
              <w:t>教学管理平台：</w:t>
            </w:r>
          </w:p>
          <w:p>
            <w:pPr>
              <w:widowControl/>
              <w:jc w:val="left"/>
              <w:rPr>
                <w:rFonts w:ascii="宋体" w:hAnsi="宋体" w:cs="宋体"/>
                <w:sz w:val="18"/>
                <w:szCs w:val="18"/>
              </w:rPr>
            </w:pPr>
            <w:r>
              <w:rPr>
                <w:rFonts w:hint="eastAsia" w:ascii="宋体" w:hAnsi="宋体" w:cs="宋体"/>
                <w:b/>
                <w:bCs/>
                <w:sz w:val="18"/>
                <w:szCs w:val="18"/>
              </w:rPr>
              <w:t>1、账号管理</w:t>
            </w:r>
            <w:r>
              <w:rPr>
                <w:rFonts w:hint="eastAsia" w:ascii="宋体" w:hAnsi="宋体" w:cs="宋体"/>
                <w:sz w:val="18"/>
                <w:szCs w:val="18"/>
              </w:rPr>
              <w:t>：管理员可对学生账号进行管理。支持通过Excel模板批量导入学生名单，支持按学号或姓名进行搜索，支持导出现有学生名单以便归档。管理员可对老师账号进行增删改查操作。支持单个添加老师账号，也支持通过Excel模板批量导入老师账号。支持按账号或姓名快捷搜索老师，也支持按不同角色筛选查询老师列表。管理员可通过老师列表页快捷进行权限角色配置操作。其中老师的权限角色主要包括管理员、建课老师、导学老师等。支持编辑学生专业、年级、学科等相关信息，支持一键重置学生密码功能。</w:t>
            </w:r>
          </w:p>
          <w:p>
            <w:pPr>
              <w:widowControl/>
              <w:jc w:val="left"/>
              <w:rPr>
                <w:rFonts w:ascii="宋体" w:hAnsi="宋体" w:cs="宋体"/>
                <w:sz w:val="18"/>
                <w:szCs w:val="18"/>
              </w:rPr>
            </w:pPr>
            <w:r>
              <w:rPr>
                <w:rFonts w:hint="eastAsia" w:ascii="宋体" w:hAnsi="宋体" w:cs="宋体"/>
                <w:b/>
                <w:bCs/>
                <w:sz w:val="18"/>
                <w:szCs w:val="18"/>
              </w:rPr>
              <w:t>2、BI分析：</w:t>
            </w:r>
            <w:r>
              <w:rPr>
                <w:rFonts w:hint="eastAsia" w:ascii="宋体" w:hAnsi="宋体" w:cs="宋体"/>
                <w:sz w:val="18"/>
                <w:szCs w:val="18"/>
              </w:rPr>
              <w:t>针对今日访问量、平均学习时长、当前虚机启动数等数据进行实时动态统计和可视化展示。学习时间段UV统计，可对昨日和近七日的四个时间段内的访问人数进行统计分析展示。每周热门实验TOP榜，以周单位，将热度前15名的实验进行统计展示，展示信息包括实验名称、学习人数、排名浮动幅度。</w:t>
            </w:r>
          </w:p>
          <w:p>
            <w:pPr>
              <w:widowControl/>
              <w:jc w:val="left"/>
              <w:rPr>
                <w:rFonts w:ascii="宋体" w:hAnsi="宋体" w:cs="宋体"/>
                <w:sz w:val="18"/>
                <w:szCs w:val="18"/>
              </w:rPr>
            </w:pPr>
            <w:r>
              <w:rPr>
                <w:rFonts w:hint="eastAsia" w:ascii="宋体" w:hAnsi="宋体" w:cs="宋体"/>
                <w:b/>
                <w:bCs/>
                <w:sz w:val="18"/>
                <w:szCs w:val="18"/>
              </w:rPr>
              <w:t>3、体系管理：</w:t>
            </w:r>
            <w:r>
              <w:rPr>
                <w:rFonts w:hint="eastAsia" w:ascii="宋体" w:hAnsi="宋体" w:cs="宋体"/>
                <w:sz w:val="18"/>
                <w:szCs w:val="18"/>
              </w:rPr>
              <w:t>可对实验课体系进行管理，支持类目名称自定义，支持直接拖拽类目进行排序，支持快捷添加实验课至对应类目体系，添加实验课操作时，支持按照课程名称进行课程搜索。</w:t>
            </w:r>
          </w:p>
          <w:p>
            <w:pPr>
              <w:widowControl/>
              <w:jc w:val="left"/>
              <w:rPr>
                <w:rFonts w:ascii="宋体" w:hAnsi="宋体" w:cs="宋体"/>
                <w:sz w:val="18"/>
                <w:szCs w:val="18"/>
              </w:rPr>
            </w:pPr>
            <w:r>
              <w:rPr>
                <w:rFonts w:ascii="宋体" w:hAnsi="宋体" w:cs="宋体"/>
                <w:b/>
                <w:bCs/>
                <w:sz w:val="18"/>
                <w:szCs w:val="18"/>
              </w:rPr>
              <w:t>4</w:t>
            </w:r>
            <w:r>
              <w:rPr>
                <w:rFonts w:hint="eastAsia" w:ascii="宋体" w:hAnsi="宋体" w:cs="宋体"/>
                <w:b/>
                <w:bCs/>
                <w:sz w:val="18"/>
                <w:szCs w:val="18"/>
              </w:rPr>
              <w:t>、实验课管理：</w:t>
            </w:r>
            <w:r>
              <w:rPr>
                <w:rFonts w:hint="eastAsia" w:ascii="宋体" w:hAnsi="宋体" w:cs="宋体"/>
                <w:sz w:val="18"/>
                <w:szCs w:val="18"/>
              </w:rPr>
              <w:t>可新建实验课，可对实验课信息进行编辑，包括实验课名称、简介、起止时间、主语言标签等字段。可对实验课内容进行管理，支持添加多个层次，支持自定义层次名称，支持在层次下添加实验。添加实验后，可拖拽调整实验的排序。支持对添加的实验进行预览、编辑、删除等操作支持老师对实验课的学生名单进行管理，支持通过Excel模板批量导入学生名单，支持老师将学生分为不同的班组并安排不同的导学老师，支持退选学生。支持批量导出学生的实验报告、导出学生相关信息，支持老师查看学生实验完成情况，可查看每个学生的完成情况列表。老师可通过该列表快捷批阅实验报告。批阅支持老师对实验报告进行评分和评语。</w:t>
            </w:r>
          </w:p>
          <w:p>
            <w:pPr>
              <w:widowControl/>
              <w:jc w:val="left"/>
              <w:rPr>
                <w:rFonts w:ascii="宋体" w:hAnsi="宋体" w:cs="宋体"/>
                <w:sz w:val="18"/>
                <w:szCs w:val="18"/>
              </w:rPr>
            </w:pPr>
            <w:r>
              <w:rPr>
                <w:rFonts w:ascii="宋体" w:hAnsi="宋体" w:cs="宋体"/>
                <w:b/>
                <w:bCs/>
                <w:sz w:val="18"/>
                <w:szCs w:val="18"/>
              </w:rPr>
              <w:t>5</w:t>
            </w:r>
            <w:r>
              <w:rPr>
                <w:rFonts w:hint="eastAsia" w:ascii="宋体" w:hAnsi="宋体" w:cs="宋体"/>
                <w:b/>
                <w:bCs/>
                <w:sz w:val="18"/>
                <w:szCs w:val="18"/>
              </w:rPr>
              <w:t>、训练营管理：</w:t>
            </w:r>
            <w:r>
              <w:rPr>
                <w:rFonts w:hint="eastAsia" w:ascii="宋体" w:hAnsi="宋体" w:cs="宋体"/>
                <w:sz w:val="18"/>
                <w:szCs w:val="18"/>
              </w:rPr>
              <w:t>可新建训练营，可对训练营的信息进行管理，包括训练营名称、简介、起止时间、专业方向标签等字段。可对训练营内容进行管理，支持添加日程安排，内容类型支持视频、测验、作业、讨论、课件、页面、实验。发布训练营时支持自动检测，将自动对内容可用性进行检测，也可根据需要选择跳过自动检测直接发布。</w:t>
            </w:r>
          </w:p>
          <w:p>
            <w:pPr>
              <w:widowControl/>
              <w:jc w:val="left"/>
              <w:rPr>
                <w:rFonts w:ascii="宋体" w:hAnsi="宋体" w:cs="宋体"/>
                <w:sz w:val="18"/>
                <w:szCs w:val="18"/>
              </w:rPr>
            </w:pPr>
            <w:r>
              <w:rPr>
                <w:rFonts w:ascii="宋体" w:hAnsi="宋体" w:cs="宋体"/>
                <w:b/>
                <w:bCs/>
                <w:sz w:val="18"/>
                <w:szCs w:val="18"/>
              </w:rPr>
              <w:t>6</w:t>
            </w:r>
            <w:r>
              <w:rPr>
                <w:rFonts w:hint="eastAsia" w:ascii="宋体" w:hAnsi="宋体" w:cs="宋体"/>
                <w:b/>
                <w:bCs/>
                <w:sz w:val="18"/>
                <w:szCs w:val="18"/>
              </w:rPr>
              <w:t>、工具管理：</w:t>
            </w:r>
            <w:r>
              <w:rPr>
                <w:rFonts w:ascii="宋体" w:hAnsi="宋体" w:cs="宋体"/>
                <w:sz w:val="18"/>
                <w:szCs w:val="18"/>
              </w:rPr>
              <w:t>可对工具进行增删改，新增/编辑工具时，可对工具名称、图标、类型、镜像关联、 时长次数限制、版本描述等信息进行设置。可设置工具的上架下架状态。</w:t>
            </w:r>
          </w:p>
          <w:p>
            <w:pPr>
              <w:spacing w:line="360" w:lineRule="atLeast"/>
              <w:rPr>
                <w:rFonts w:ascii="宋体" w:hAnsi="宋体" w:cs="宋体"/>
                <w:b/>
                <w:sz w:val="18"/>
                <w:szCs w:val="18"/>
              </w:rPr>
            </w:pPr>
            <w:r>
              <w:rPr>
                <w:rFonts w:hint="eastAsia" w:ascii="宋体" w:hAnsi="宋体" w:cs="宋体"/>
                <w:b/>
                <w:sz w:val="18"/>
                <w:szCs w:val="18"/>
              </w:rPr>
              <w:t>平台特点：</w:t>
            </w:r>
          </w:p>
          <w:p>
            <w:pPr>
              <w:spacing w:line="360" w:lineRule="atLeast"/>
              <w:rPr>
                <w:rFonts w:ascii="宋体" w:hAnsi="宋体" w:cs="宋体"/>
                <w:sz w:val="18"/>
                <w:szCs w:val="18"/>
              </w:rPr>
            </w:pPr>
            <w:r>
              <w:rPr>
                <w:rFonts w:hint="eastAsia" w:ascii="宋体" w:hAnsi="宋体" w:cs="宋体"/>
                <w:sz w:val="18"/>
                <w:szCs w:val="18"/>
              </w:rPr>
              <w:t>1、支持多专业：平台基于插件式架构及统一的内核，可满足大数据、人工智能、云计算、虚拟现实、智能物联、集成电路等多个专业，减少学校重复建设的成本和资源浪费，并且极大降低运行维护成本。</w:t>
            </w:r>
          </w:p>
          <w:p>
            <w:pPr>
              <w:spacing w:line="360" w:lineRule="atLeast"/>
              <w:rPr>
                <w:rFonts w:ascii="宋体" w:hAnsi="宋体" w:cs="宋体"/>
                <w:sz w:val="18"/>
                <w:szCs w:val="18"/>
              </w:rPr>
            </w:pPr>
            <w:r>
              <w:rPr>
                <w:rFonts w:hint="eastAsia" w:ascii="宋体" w:hAnsi="宋体" w:cs="宋体"/>
                <w:sz w:val="18"/>
                <w:szCs w:val="18"/>
              </w:rPr>
              <w:t>2、支持多环境：支持Jupyter Notebook、Linux Desktop、Windows、VNC等实验环境，基于这几种环境可以构建出所有类型的实验资源，满足学校的实验需求。</w:t>
            </w:r>
          </w:p>
          <w:p>
            <w:pPr>
              <w:spacing w:line="360" w:lineRule="atLeast"/>
              <w:rPr>
                <w:rFonts w:ascii="宋体" w:hAnsi="宋体" w:cs="宋体"/>
                <w:sz w:val="18"/>
                <w:szCs w:val="18"/>
              </w:rPr>
            </w:pPr>
            <w:r>
              <w:rPr>
                <w:rFonts w:hint="eastAsia" w:ascii="宋体" w:hAnsi="宋体" w:cs="宋体"/>
                <w:sz w:val="18"/>
                <w:szCs w:val="18"/>
              </w:rPr>
              <w:t>3、内置丰富及便捷的开源数据处理框架开箱可用：集成国内外流行的开源大数据处理框架和大数据处理基础组件，提供开箱可用的使用体验基于先进和灵活的架构设计，支持用户依据自身需求增加大数据处理框架。</w:t>
            </w:r>
          </w:p>
          <w:p>
            <w:pPr>
              <w:spacing w:line="360" w:lineRule="atLeast"/>
              <w:rPr>
                <w:rFonts w:ascii="宋体" w:hAnsi="宋体" w:cs="宋体"/>
                <w:sz w:val="18"/>
                <w:szCs w:val="18"/>
              </w:rPr>
            </w:pPr>
            <w:r>
              <w:rPr>
                <w:rFonts w:hint="eastAsia" w:ascii="宋体" w:hAnsi="宋体" w:cs="宋体"/>
                <w:sz w:val="18"/>
                <w:szCs w:val="18"/>
              </w:rPr>
              <w:t>4、支持实验自研：灵活的容器化技术和镜像管理，支持高校教师自主上传、开发自研实验及项目案例，充分满足教学和科研需求，实验研发效率高。</w:t>
            </w:r>
          </w:p>
          <w:p>
            <w:pPr>
              <w:spacing w:line="360" w:lineRule="atLeast"/>
              <w:rPr>
                <w:rFonts w:ascii="宋体" w:hAnsi="宋体" w:cs="宋体"/>
                <w:sz w:val="18"/>
                <w:szCs w:val="18"/>
              </w:rPr>
            </w:pPr>
            <w:r>
              <w:rPr>
                <w:rFonts w:hint="eastAsia" w:ascii="宋体" w:hAnsi="宋体" w:cs="宋体"/>
                <w:sz w:val="18"/>
                <w:szCs w:val="18"/>
              </w:rPr>
              <w:t>5、支持数据服务：大数据学情，可视化展示，BI中心助力督学导学。</w:t>
            </w:r>
          </w:p>
          <w:p>
            <w:pPr>
              <w:spacing w:line="360" w:lineRule="atLeast"/>
              <w:rPr>
                <w:rFonts w:ascii="宋体" w:hAnsi="宋体" w:cs="宋体"/>
                <w:sz w:val="18"/>
                <w:szCs w:val="18"/>
              </w:rPr>
            </w:pPr>
            <w:r>
              <w:rPr>
                <w:rFonts w:hint="eastAsia" w:ascii="宋体" w:hAnsi="宋体" w:cs="宋体"/>
                <w:sz w:val="18"/>
                <w:szCs w:val="18"/>
              </w:rPr>
              <w:t>6、支持科研平台：通过实验环境+数据集的形式，并通过资源的有效调度，满足更高层次的需求。</w:t>
            </w:r>
          </w:p>
          <w:p>
            <w:pPr>
              <w:spacing w:line="360" w:lineRule="atLeast"/>
              <w:rPr>
                <w:rFonts w:ascii="宋体" w:hAnsi="宋体" w:cs="宋体"/>
                <w:sz w:val="18"/>
                <w:szCs w:val="18"/>
              </w:rPr>
            </w:pPr>
            <w:r>
              <w:rPr>
                <w:rFonts w:hint="eastAsia" w:ascii="宋体" w:hAnsi="宋体" w:cs="宋体"/>
                <w:sz w:val="18"/>
                <w:szCs w:val="18"/>
              </w:rPr>
              <w:t>7、用户界面设计简单，三步打开实验。</w:t>
            </w:r>
          </w:p>
          <w:p>
            <w:pPr>
              <w:spacing w:line="360" w:lineRule="atLeast"/>
              <w:rPr>
                <w:rFonts w:ascii="宋体" w:hAnsi="宋体" w:cs="宋体"/>
                <w:b/>
                <w:sz w:val="18"/>
                <w:szCs w:val="18"/>
              </w:rPr>
            </w:pPr>
            <w:r>
              <w:rPr>
                <w:rFonts w:hint="eastAsia" w:ascii="宋体" w:hAnsi="宋体" w:cs="宋体"/>
                <w:b/>
                <w:sz w:val="18"/>
                <w:szCs w:val="18"/>
              </w:rPr>
              <w:t>用途</w:t>
            </w:r>
            <w:r>
              <w:rPr>
                <w:rFonts w:ascii="宋体" w:hAnsi="宋体" w:cs="宋体"/>
                <w:b/>
                <w:sz w:val="18"/>
                <w:szCs w:val="18"/>
              </w:rPr>
              <w:t>：</w:t>
            </w:r>
          </w:p>
          <w:p>
            <w:pPr>
              <w:widowControl/>
              <w:spacing w:line="240" w:lineRule="atLeast"/>
              <w:ind w:firstLine="360" w:firstLineChars="200"/>
              <w:jc w:val="left"/>
              <w:textAlignment w:val="center"/>
              <w:rPr>
                <w:rFonts w:ascii="宋体" w:hAnsi="宋体" w:cs="宋体"/>
                <w:sz w:val="18"/>
                <w:szCs w:val="18"/>
              </w:rPr>
            </w:pPr>
            <w:r>
              <w:rPr>
                <w:rFonts w:hint="eastAsia" w:ascii="宋体" w:hAnsi="宋体" w:cs="宋体"/>
                <w:sz w:val="18"/>
                <w:szCs w:val="18"/>
              </w:rPr>
              <w:t>1、支撑计算机系本科生和专科生的人工智能对专业人才培养，为数据挖掘、数据分析、数据算法、机器学习、深度学习、等核心课程的开展，提供实验教学和项目教学平台和资源，资源包括实验平台软件资源、实验数据资源、实验手册资源、算法模型资源 、项目案例资源等。</w:t>
            </w:r>
          </w:p>
          <w:p>
            <w:pPr>
              <w:widowControl/>
              <w:spacing w:line="240" w:lineRule="atLeast"/>
              <w:ind w:firstLine="360" w:firstLineChars="200"/>
              <w:jc w:val="left"/>
              <w:textAlignment w:val="center"/>
              <w:rPr>
                <w:rFonts w:ascii="宋体" w:hAnsi="宋体" w:cs="宋体"/>
                <w:sz w:val="18"/>
                <w:szCs w:val="18"/>
              </w:rPr>
            </w:pPr>
            <w:r>
              <w:rPr>
                <w:rFonts w:hint="eastAsia" w:ascii="宋体" w:hAnsi="宋体" w:cs="宋体"/>
                <w:sz w:val="18"/>
                <w:szCs w:val="18"/>
              </w:rPr>
              <w:t>2、预计建设成效：建成“互联网+教育”大平台，提升信息工程学院多专业本科生动手实践动手能力，建设综合性的创新实验项目，面向计算机专业学生开设大数据及人工智能实验课程，完善课程方案和课程标准，充实适应信息时代、智能时代发展需要的人工智能和编程课程内容。建成承载力更强、设备一流、开放管理的实验教学平台。</w:t>
            </w:r>
          </w:p>
          <w:p>
            <w:pPr>
              <w:widowControl/>
              <w:spacing w:line="240" w:lineRule="atLeast"/>
              <w:ind w:firstLine="360" w:firstLineChars="200"/>
              <w:jc w:val="left"/>
              <w:textAlignment w:val="center"/>
              <w:rPr>
                <w:rFonts w:ascii="宋体" w:hAnsi="宋体" w:cs="宋体"/>
                <w:sz w:val="18"/>
                <w:szCs w:val="18"/>
              </w:rPr>
            </w:pPr>
            <w:r>
              <w:rPr>
                <w:rFonts w:hint="eastAsia" w:ascii="宋体" w:hAnsi="宋体" w:cs="宋体"/>
                <w:sz w:val="18"/>
                <w:szCs w:val="18"/>
              </w:rPr>
              <w:t>3、人才岗位培养，主要培养适应经济与社会发展需要的大数据分析及人工智能的复合型高级工程技术人才。所有培养方案均来源于实际项目及企业要求，帮助学校更好从大数据专业建设、课程资源、师资培训、实训基地建设、技能鉴定、就业实习学等方面与合作院校开展不同层次的全方面合作。目前以六大市场热门岗位的培养方案为主：数据采集工程师、</w:t>
            </w:r>
            <w:r>
              <w:rPr>
                <w:rFonts w:ascii="宋体" w:hAnsi="宋体" w:cs="宋体"/>
                <w:sz w:val="18"/>
                <w:szCs w:val="18"/>
              </w:rPr>
              <w:t>算法设计工程师</w:t>
            </w:r>
            <w:r>
              <w:rPr>
                <w:rFonts w:hint="eastAsia" w:ascii="宋体" w:hAnsi="宋体" w:cs="宋体"/>
                <w:sz w:val="18"/>
                <w:szCs w:val="18"/>
              </w:rPr>
              <w:t>、</w:t>
            </w:r>
            <w:r>
              <w:rPr>
                <w:rFonts w:ascii="宋体" w:hAnsi="宋体" w:cs="宋体"/>
                <w:sz w:val="18"/>
                <w:szCs w:val="18"/>
              </w:rPr>
              <w:t>算法实现工程师</w:t>
            </w:r>
            <w:r>
              <w:rPr>
                <w:rFonts w:hint="eastAsia" w:ascii="宋体" w:hAnsi="宋体" w:cs="宋体"/>
                <w:sz w:val="18"/>
                <w:szCs w:val="18"/>
              </w:rPr>
              <w:t>、</w:t>
            </w:r>
            <w:r>
              <w:rPr>
                <w:rFonts w:ascii="宋体" w:hAnsi="宋体" w:cs="宋体"/>
                <w:sz w:val="18"/>
                <w:szCs w:val="18"/>
              </w:rPr>
              <w:t>算法训练工程师、算法验证工程师、算法应用工程师</w:t>
            </w:r>
            <w:r>
              <w:rPr>
                <w:rFonts w:hint="eastAsia" w:ascii="宋体" w:hAnsi="宋体" w:cs="宋体"/>
                <w:sz w:val="18"/>
                <w:szCs w:val="18"/>
              </w:rPr>
              <w:t>、人工智能算法工程师。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1" w:hRule="atLeast"/>
          <w:jc w:val="center"/>
        </w:trPr>
        <w:tc>
          <w:tcPr>
            <w:tcW w:w="850" w:type="dxa"/>
            <w:tcBorders>
              <w:bottom w:val="single" w:color="auto" w:sz="4" w:space="0"/>
            </w:tcBorders>
            <w:vAlign w:val="center"/>
          </w:tcPr>
          <w:p>
            <w:pPr>
              <w:spacing w:line="360" w:lineRule="exact"/>
              <w:jc w:val="center"/>
              <w:rPr>
                <w:rFonts w:ascii="宋体" w:hAnsi="宋体"/>
                <w:bCs/>
                <w:spacing w:val="16"/>
                <w:sz w:val="28"/>
                <w:szCs w:val="28"/>
              </w:rPr>
            </w:pPr>
            <w:r>
              <w:rPr>
                <w:rFonts w:hint="eastAsia" w:ascii="宋体" w:hAnsi="宋体"/>
                <w:bCs/>
                <w:spacing w:val="16"/>
                <w:sz w:val="28"/>
                <w:szCs w:val="28"/>
              </w:rPr>
              <w:t>应用</w:t>
            </w:r>
          </w:p>
          <w:p>
            <w:pPr>
              <w:spacing w:line="360" w:lineRule="exact"/>
              <w:jc w:val="center"/>
              <w:rPr>
                <w:rFonts w:ascii="宋体" w:hAnsi="宋体"/>
                <w:bCs/>
                <w:spacing w:val="16"/>
                <w:sz w:val="28"/>
                <w:szCs w:val="28"/>
              </w:rPr>
            </w:pPr>
            <w:r>
              <w:rPr>
                <w:rFonts w:hint="eastAsia" w:ascii="宋体" w:hAnsi="宋体"/>
                <w:bCs/>
                <w:spacing w:val="16"/>
                <w:sz w:val="28"/>
                <w:szCs w:val="28"/>
              </w:rPr>
              <w:t>范围</w:t>
            </w:r>
          </w:p>
          <w:p>
            <w:pPr>
              <w:spacing w:line="360" w:lineRule="exact"/>
              <w:jc w:val="center"/>
              <w:rPr>
                <w:rFonts w:ascii="宋体" w:hAnsi="宋体"/>
                <w:bCs/>
                <w:spacing w:val="16"/>
                <w:sz w:val="28"/>
                <w:szCs w:val="28"/>
              </w:rPr>
            </w:pPr>
            <w:r>
              <w:rPr>
                <w:rFonts w:hint="eastAsia" w:ascii="宋体" w:hAnsi="宋体"/>
                <w:bCs/>
                <w:spacing w:val="16"/>
                <w:sz w:val="28"/>
                <w:szCs w:val="28"/>
              </w:rPr>
              <w:t>与共</w:t>
            </w:r>
          </w:p>
          <w:p>
            <w:pPr>
              <w:spacing w:line="360" w:lineRule="exact"/>
              <w:jc w:val="center"/>
              <w:rPr>
                <w:rFonts w:ascii="宋体" w:hAnsi="宋体"/>
                <w:bCs/>
                <w:spacing w:val="16"/>
                <w:sz w:val="28"/>
                <w:szCs w:val="28"/>
              </w:rPr>
            </w:pPr>
            <w:r>
              <w:rPr>
                <w:rFonts w:hint="eastAsia" w:ascii="宋体" w:hAnsi="宋体"/>
                <w:bCs/>
                <w:spacing w:val="16"/>
                <w:sz w:val="28"/>
                <w:szCs w:val="28"/>
              </w:rPr>
              <w:t>享学</w:t>
            </w:r>
          </w:p>
          <w:p>
            <w:pPr>
              <w:spacing w:line="360" w:lineRule="exact"/>
              <w:jc w:val="center"/>
              <w:rPr>
                <w:rFonts w:ascii="宋体" w:hAnsi="宋体"/>
                <w:bCs/>
                <w:spacing w:val="16"/>
                <w:sz w:val="28"/>
                <w:szCs w:val="28"/>
              </w:rPr>
            </w:pPr>
            <w:r>
              <w:rPr>
                <w:rFonts w:hint="eastAsia" w:ascii="宋体" w:hAnsi="宋体"/>
                <w:bCs/>
                <w:spacing w:val="16"/>
                <w:sz w:val="28"/>
                <w:szCs w:val="28"/>
              </w:rPr>
              <w:t>科</w:t>
            </w:r>
          </w:p>
        </w:tc>
        <w:tc>
          <w:tcPr>
            <w:tcW w:w="8829" w:type="dxa"/>
            <w:gridSpan w:val="13"/>
          </w:tcPr>
          <w:p>
            <w:pPr>
              <w:spacing w:line="360" w:lineRule="exact"/>
              <w:rPr>
                <w:rFonts w:ascii="宋体" w:hAnsi="宋体"/>
                <w:b/>
                <w:szCs w:val="21"/>
              </w:rPr>
            </w:pPr>
            <w:r>
              <w:rPr>
                <w:rFonts w:hint="eastAsia" w:ascii="宋体" w:hAnsi="宋体"/>
                <w:b/>
                <w:szCs w:val="21"/>
              </w:rPr>
              <w:t>应用范围：</w:t>
            </w:r>
          </w:p>
          <w:p>
            <w:pPr>
              <w:widowControl/>
              <w:spacing w:line="240" w:lineRule="atLeast"/>
              <w:ind w:firstLine="360" w:firstLineChars="200"/>
              <w:jc w:val="left"/>
              <w:textAlignment w:val="center"/>
              <w:rPr>
                <w:rFonts w:ascii="宋体" w:hAnsi="宋体"/>
                <w:szCs w:val="21"/>
              </w:rPr>
            </w:pPr>
            <w:r>
              <w:rPr>
                <w:rFonts w:hint="eastAsia" w:ascii="宋体" w:hAnsi="宋体" w:cs="宋体"/>
                <w:sz w:val="18"/>
                <w:szCs w:val="18"/>
              </w:rPr>
              <w:t>满足面向计算机主干课专业的教学，同时满足经管类商科“大数据+”、“人工智能+”等专业的实验课及实验环境支撑。</w:t>
            </w:r>
          </w:p>
          <w:p>
            <w:pPr>
              <w:spacing w:line="360" w:lineRule="exact"/>
              <w:rPr>
                <w:rFonts w:ascii="宋体" w:hAnsi="宋体"/>
                <w:b/>
                <w:szCs w:val="21"/>
              </w:rPr>
            </w:pPr>
            <w:r>
              <w:rPr>
                <w:rFonts w:hint="eastAsia" w:ascii="宋体" w:hAnsi="宋体"/>
                <w:b/>
                <w:szCs w:val="21"/>
              </w:rPr>
              <w:t>共享学科：</w:t>
            </w:r>
          </w:p>
          <w:p>
            <w:pPr>
              <w:widowControl/>
              <w:spacing w:line="240" w:lineRule="atLeast"/>
              <w:ind w:firstLine="360" w:firstLineChars="200"/>
              <w:jc w:val="left"/>
              <w:textAlignment w:val="center"/>
              <w:rPr>
                <w:rFonts w:ascii="宋体" w:hAnsi="宋体"/>
                <w:szCs w:val="21"/>
              </w:rPr>
            </w:pPr>
            <w:r>
              <w:rPr>
                <w:rFonts w:hint="eastAsia" w:ascii="宋体" w:hAnsi="宋体" w:cs="宋体"/>
                <w:sz w:val="18"/>
                <w:szCs w:val="18"/>
              </w:rPr>
              <w:t>软件工程、“大数据+</w:t>
            </w:r>
            <w:r>
              <w:rPr>
                <w:rFonts w:ascii="宋体" w:hAnsi="宋体" w:cs="宋体"/>
                <w:sz w:val="18"/>
                <w:szCs w:val="18"/>
              </w:rPr>
              <w:t>”</w:t>
            </w:r>
            <w:r>
              <w:rPr>
                <w:rFonts w:hint="eastAsia" w:ascii="宋体" w:hAnsi="宋体" w:cs="宋体"/>
                <w:sz w:val="18"/>
                <w:szCs w:val="18"/>
              </w:rPr>
              <w:t>与“人工智能+</w:t>
            </w:r>
            <w:r>
              <w:rPr>
                <w:rFonts w:ascii="宋体" w:hAnsi="宋体" w:cs="宋体"/>
                <w:sz w:val="18"/>
                <w:szCs w:val="18"/>
              </w:rPr>
              <w:t>”</w:t>
            </w:r>
            <w:r>
              <w:rPr>
                <w:rFonts w:hint="eastAsia" w:ascii="宋体" w:hAnsi="宋体" w:cs="宋体"/>
                <w:sz w:val="18"/>
                <w:szCs w:val="18"/>
              </w:rPr>
              <w:t>学科共享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3" w:hRule="atLeast"/>
          <w:jc w:val="center"/>
        </w:trPr>
        <w:tc>
          <w:tcPr>
            <w:tcW w:w="850" w:type="dxa"/>
            <w:tcBorders>
              <w:bottom w:val="single" w:color="auto" w:sz="4" w:space="0"/>
            </w:tcBorders>
            <w:vAlign w:val="center"/>
          </w:tcPr>
          <w:p>
            <w:pPr>
              <w:spacing w:line="360" w:lineRule="exact"/>
              <w:jc w:val="center"/>
              <w:rPr>
                <w:rFonts w:ascii="宋体" w:hAnsi="宋体"/>
                <w:bCs/>
                <w:spacing w:val="16"/>
                <w:sz w:val="28"/>
                <w:szCs w:val="28"/>
              </w:rPr>
            </w:pPr>
            <w:r>
              <w:rPr>
                <w:rFonts w:hint="eastAsia" w:ascii="宋体" w:hAnsi="宋体"/>
                <w:bCs/>
                <w:spacing w:val="16"/>
                <w:sz w:val="28"/>
                <w:szCs w:val="28"/>
              </w:rPr>
              <w:t>申</w:t>
            </w:r>
          </w:p>
          <w:p>
            <w:pPr>
              <w:spacing w:line="360" w:lineRule="exact"/>
              <w:jc w:val="center"/>
              <w:rPr>
                <w:rFonts w:ascii="宋体" w:hAnsi="宋体"/>
                <w:bCs/>
                <w:spacing w:val="16"/>
                <w:sz w:val="28"/>
                <w:szCs w:val="28"/>
              </w:rPr>
            </w:pPr>
            <w:r>
              <w:rPr>
                <w:rFonts w:hint="eastAsia" w:ascii="宋体" w:hAnsi="宋体"/>
                <w:bCs/>
                <w:spacing w:val="16"/>
                <w:sz w:val="28"/>
                <w:szCs w:val="28"/>
              </w:rPr>
              <w:t>购</w:t>
            </w:r>
          </w:p>
          <w:p>
            <w:pPr>
              <w:spacing w:line="360" w:lineRule="exact"/>
              <w:jc w:val="center"/>
              <w:rPr>
                <w:rFonts w:ascii="宋体" w:hAnsi="宋体"/>
                <w:bCs/>
                <w:spacing w:val="16"/>
                <w:sz w:val="28"/>
                <w:szCs w:val="28"/>
              </w:rPr>
            </w:pPr>
            <w:r>
              <w:rPr>
                <w:rFonts w:hint="eastAsia" w:ascii="宋体" w:hAnsi="宋体"/>
                <w:bCs/>
                <w:spacing w:val="16"/>
                <w:sz w:val="28"/>
                <w:szCs w:val="28"/>
              </w:rPr>
              <w:t>理</w:t>
            </w:r>
          </w:p>
          <w:p>
            <w:pPr>
              <w:spacing w:line="360" w:lineRule="exact"/>
              <w:jc w:val="center"/>
              <w:rPr>
                <w:rFonts w:ascii="宋体" w:hAnsi="宋体"/>
                <w:bCs/>
                <w:spacing w:val="16"/>
                <w:sz w:val="28"/>
                <w:szCs w:val="28"/>
              </w:rPr>
            </w:pPr>
            <w:r>
              <w:rPr>
                <w:rFonts w:hint="eastAsia" w:ascii="宋体" w:hAnsi="宋体"/>
                <w:bCs/>
                <w:spacing w:val="16"/>
                <w:sz w:val="28"/>
                <w:szCs w:val="28"/>
              </w:rPr>
              <w:t>由</w:t>
            </w:r>
          </w:p>
          <w:p>
            <w:pPr>
              <w:spacing w:line="360" w:lineRule="exact"/>
              <w:jc w:val="center"/>
              <w:rPr>
                <w:rFonts w:ascii="宋体" w:hAnsi="宋体"/>
                <w:bCs/>
                <w:spacing w:val="16"/>
                <w:sz w:val="28"/>
                <w:szCs w:val="28"/>
              </w:rPr>
            </w:pPr>
            <w:r>
              <w:rPr>
                <w:rFonts w:hint="eastAsia" w:ascii="宋体" w:hAnsi="宋体"/>
                <w:bCs/>
                <w:spacing w:val="16"/>
                <w:sz w:val="28"/>
                <w:szCs w:val="28"/>
              </w:rPr>
              <w:t>和</w:t>
            </w:r>
          </w:p>
          <w:p>
            <w:pPr>
              <w:spacing w:line="360" w:lineRule="exact"/>
              <w:jc w:val="center"/>
              <w:rPr>
                <w:rFonts w:ascii="宋体" w:hAnsi="宋体"/>
                <w:bCs/>
                <w:spacing w:val="16"/>
                <w:sz w:val="28"/>
                <w:szCs w:val="28"/>
              </w:rPr>
            </w:pPr>
            <w:r>
              <w:rPr>
                <w:rFonts w:hint="eastAsia" w:ascii="宋体" w:hAnsi="宋体"/>
                <w:bCs/>
                <w:spacing w:val="16"/>
                <w:sz w:val="28"/>
                <w:szCs w:val="28"/>
              </w:rPr>
              <w:t>必</w:t>
            </w:r>
          </w:p>
          <w:p>
            <w:pPr>
              <w:spacing w:line="360" w:lineRule="exact"/>
              <w:jc w:val="center"/>
              <w:rPr>
                <w:rFonts w:ascii="宋体" w:hAnsi="宋体"/>
                <w:bCs/>
                <w:spacing w:val="16"/>
                <w:sz w:val="28"/>
                <w:szCs w:val="28"/>
              </w:rPr>
            </w:pPr>
            <w:r>
              <w:rPr>
                <w:rFonts w:hint="eastAsia" w:ascii="宋体" w:hAnsi="宋体"/>
                <w:bCs/>
                <w:spacing w:val="16"/>
                <w:sz w:val="28"/>
                <w:szCs w:val="28"/>
              </w:rPr>
              <w:t>要</w:t>
            </w:r>
          </w:p>
          <w:p>
            <w:pPr>
              <w:spacing w:line="360" w:lineRule="exact"/>
              <w:jc w:val="center"/>
              <w:rPr>
                <w:rFonts w:ascii="宋体" w:hAnsi="宋体"/>
                <w:sz w:val="24"/>
              </w:rPr>
            </w:pPr>
            <w:r>
              <w:rPr>
                <w:rFonts w:hint="eastAsia" w:ascii="宋体" w:hAnsi="宋体"/>
                <w:bCs/>
                <w:spacing w:val="16"/>
                <w:sz w:val="28"/>
                <w:szCs w:val="28"/>
              </w:rPr>
              <w:t>性</w:t>
            </w:r>
          </w:p>
        </w:tc>
        <w:tc>
          <w:tcPr>
            <w:tcW w:w="8829" w:type="dxa"/>
            <w:gridSpan w:val="13"/>
          </w:tcPr>
          <w:p>
            <w:pPr>
              <w:rPr>
                <w:rFonts w:ascii="宋体" w:hAnsi="宋体" w:cs="宋体"/>
                <w:b/>
                <w:bCs/>
                <w:sz w:val="18"/>
                <w:szCs w:val="18"/>
              </w:rPr>
            </w:pPr>
            <w:r>
              <w:rPr>
                <w:rFonts w:hint="eastAsia" w:ascii="宋体" w:hAnsi="宋体" w:cs="宋体"/>
                <w:b/>
                <w:bCs/>
                <w:sz w:val="18"/>
                <w:szCs w:val="18"/>
              </w:rPr>
              <w:t>申购理由：</w:t>
            </w:r>
          </w:p>
          <w:p>
            <w:pPr>
              <w:ind w:firstLine="360" w:firstLineChars="200"/>
              <w:rPr>
                <w:rFonts w:ascii="宋体" w:hAnsi="宋体" w:cs="宋体"/>
                <w:sz w:val="18"/>
                <w:szCs w:val="18"/>
              </w:rPr>
            </w:pPr>
            <w:r>
              <w:rPr>
                <w:rFonts w:hint="eastAsia" w:ascii="宋体" w:hAnsi="宋体" w:cs="宋体"/>
                <w:sz w:val="18"/>
                <w:szCs w:val="18"/>
              </w:rPr>
              <w:t>国务院在2017年7月8日印发并颁布了《新一代人工智能发展规划》将对我国的科研教育体系产生变革性影响。人工智能已经成为计算机、信息类理工科专业的主要发展方向之一。</w:t>
            </w:r>
          </w:p>
          <w:p>
            <w:pPr>
              <w:ind w:firstLine="360" w:firstLineChars="200"/>
              <w:rPr>
                <w:rFonts w:ascii="宋体" w:hAnsi="宋体" w:cs="宋体"/>
                <w:sz w:val="18"/>
                <w:szCs w:val="18"/>
              </w:rPr>
            </w:pPr>
            <w:r>
              <w:rPr>
                <w:rFonts w:hint="eastAsia" w:ascii="宋体" w:hAnsi="宋体" w:cs="宋体"/>
                <w:sz w:val="18"/>
                <w:szCs w:val="18"/>
              </w:rPr>
              <w:t>1）对于学院计算机、信息类专业的理工科学生，通过本项目的实施, 在高校师生掌握数据科学、人工智能的基本理论和技术，包括自然语言处理、图像识别、人脸识别、语音处理及识别等人工智能工程应用核心技术，结合卷积神经网络、循环神经网络、机器学习、深度学习等应用技术基础之上，通过丰富的实验资源和平台建设，全面赋能人工智能方向的产业应用能力、工程开发能力，为各类大数据竞赛、教学资源提升等，提供强有力的内容支撑。</w:t>
            </w:r>
          </w:p>
          <w:p>
            <w:pPr>
              <w:ind w:firstLine="360" w:firstLineChars="200"/>
              <w:rPr>
                <w:rFonts w:ascii="宋体" w:hAnsi="宋体" w:cs="宋体"/>
                <w:sz w:val="18"/>
                <w:szCs w:val="18"/>
              </w:rPr>
            </w:pPr>
            <w:r>
              <w:rPr>
                <w:rFonts w:hint="eastAsia" w:ascii="宋体" w:hAnsi="宋体" w:cs="宋体"/>
                <w:sz w:val="18"/>
                <w:szCs w:val="18"/>
              </w:rPr>
              <w:t>2）对于学院计算机、信息类专业的理工科学生，通过本项目的实施，可以全面赋能“X专业 +大数据“、”X专业 + 人工智能”的数据治理能力，数据应用能力，通过案例库中丰富的真实行业应用，结合大数据工程和分析、商业智能技术的实现方法，在本学科领域进行技术创新或创造。</w:t>
            </w:r>
          </w:p>
          <w:p>
            <w:pPr>
              <w:ind w:firstLine="360" w:firstLineChars="200"/>
              <w:rPr>
                <w:rFonts w:ascii="宋体" w:hAnsi="宋体" w:cs="宋体"/>
                <w:sz w:val="18"/>
                <w:szCs w:val="18"/>
              </w:rPr>
            </w:pPr>
            <w:r>
              <w:rPr>
                <w:rFonts w:hint="eastAsia" w:ascii="宋体" w:hAnsi="宋体" w:cs="宋体"/>
                <w:sz w:val="18"/>
                <w:szCs w:val="18"/>
              </w:rPr>
              <w:t>3） 对于全院校的本科生及教师，能够利用丰富的行业项目库资源，数据集资源等，对现有教学内容进行产业融合的优化，并对相关的产业科研提供更多的最新的行业参考案例，真实行业数据集，对科研品质的提升以及成果的转化，提供强有力的资源支撑。</w:t>
            </w:r>
          </w:p>
          <w:p>
            <w:pPr>
              <w:ind w:firstLine="360" w:firstLineChars="200"/>
              <w:rPr>
                <w:rFonts w:ascii="宋体" w:hAnsi="宋体" w:cs="宋体"/>
                <w:sz w:val="18"/>
                <w:szCs w:val="18"/>
              </w:rPr>
            </w:pPr>
            <w:r>
              <w:rPr>
                <w:rFonts w:ascii="宋体" w:hAnsi="宋体" w:cs="宋体"/>
                <w:sz w:val="18"/>
                <w:szCs w:val="18"/>
              </w:rPr>
              <w:t>4</w:t>
            </w:r>
            <w:r>
              <w:rPr>
                <w:rFonts w:hint="eastAsia" w:ascii="宋体" w:hAnsi="宋体" w:cs="宋体"/>
                <w:sz w:val="18"/>
                <w:szCs w:val="18"/>
              </w:rPr>
              <w:t>）主要考核指标</w:t>
            </w:r>
          </w:p>
          <w:p>
            <w:pPr>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 xml:space="preserve"> </w:t>
            </w:r>
            <w:r>
              <w:rPr>
                <w:rFonts w:hint="eastAsia" w:ascii="宋体" w:hAnsi="宋体" w:cs="宋体"/>
                <w:sz w:val="18"/>
                <w:szCs w:val="18"/>
              </w:rPr>
              <w:t>80%以上学生，以小组为项目单位，可以对给定的人工智能技术，比如图像识别，自然语言处理，在项目答辩时，阐明项目设计思路和所用的技术，对数据结果进行有效的分析；</w:t>
            </w:r>
          </w:p>
          <w:p>
            <w:pPr>
              <w:ind w:firstLine="360" w:firstLineChars="200"/>
              <w:rPr>
                <w:rFonts w:ascii="宋体" w:hAnsi="宋体" w:cs="宋体"/>
                <w:sz w:val="18"/>
                <w:szCs w:val="18"/>
              </w:rPr>
            </w:pPr>
            <w:r>
              <w:rPr>
                <w:rFonts w:ascii="宋体" w:hAnsi="宋体" w:cs="宋体"/>
                <w:sz w:val="18"/>
                <w:szCs w:val="18"/>
              </w:rPr>
              <w:t xml:space="preserve">- </w:t>
            </w:r>
            <w:r>
              <w:rPr>
                <w:rFonts w:hint="eastAsia" w:ascii="宋体" w:hAnsi="宋体" w:cs="宋体"/>
                <w:sz w:val="18"/>
                <w:szCs w:val="18"/>
              </w:rPr>
              <w:t>80%以上学生，可以对给定的数据，利用开源类库或第三方API进行对应的视觉识别、语音识别、自然语言处理，在项目答辩时，阐明代码运行的流程，正确使用相关术语；</w:t>
            </w:r>
          </w:p>
          <w:p>
            <w:pPr>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 xml:space="preserve"> </w:t>
            </w:r>
            <w:r>
              <w:rPr>
                <w:rFonts w:hint="eastAsia" w:ascii="宋体" w:hAnsi="宋体" w:cs="宋体"/>
                <w:sz w:val="18"/>
                <w:szCs w:val="18"/>
              </w:rPr>
              <w:t>20%以上学生，能够更加深入地运用上述某一类技术，进行人工智能技术应用或创新，做出具有一定实用价值的产品或原型。</w:t>
            </w:r>
          </w:p>
          <w:p>
            <w:pPr>
              <w:ind w:firstLine="360" w:firstLineChars="200"/>
              <w:rPr>
                <w:rFonts w:ascii="宋体" w:hAnsi="宋体" w:cs="宋体"/>
                <w:sz w:val="18"/>
                <w:szCs w:val="18"/>
              </w:rPr>
            </w:pPr>
            <w:r>
              <w:rPr>
                <w:rFonts w:hint="eastAsia" w:ascii="宋体" w:hAnsi="宋体" w:cs="宋体"/>
                <w:sz w:val="18"/>
                <w:szCs w:val="18"/>
              </w:rPr>
              <w:t>-</w:t>
            </w:r>
            <w:r>
              <w:rPr>
                <w:rFonts w:ascii="宋体" w:hAnsi="宋体" w:cs="宋体"/>
                <w:sz w:val="18"/>
                <w:szCs w:val="18"/>
              </w:rPr>
              <w:t xml:space="preserve"> </w:t>
            </w:r>
            <w:r>
              <w:rPr>
                <w:rFonts w:hint="eastAsia" w:ascii="宋体" w:hAnsi="宋体" w:cs="宋体"/>
                <w:sz w:val="18"/>
                <w:szCs w:val="18"/>
              </w:rPr>
              <w:t>全院超过50% 本科专业,至少开设一门人工智能相关课程，根据不同专业类型，获得相关数据集案例的实训实验。尽力让全部学生，都能通过本项目够初步掌握人工智能技术。</w:t>
            </w:r>
          </w:p>
          <w:p>
            <w:pPr>
              <w:ind w:firstLine="360" w:firstLineChars="200"/>
              <w:rPr>
                <w:rFonts w:ascii="宋体" w:hAnsi="宋体" w:cs="宋体"/>
                <w:sz w:val="18"/>
                <w:szCs w:val="18"/>
              </w:rPr>
            </w:pPr>
            <w:r>
              <w:rPr>
                <w:rFonts w:hint="eastAsia" w:ascii="宋体" w:hAnsi="宋体" w:cs="宋体"/>
                <w:sz w:val="18"/>
                <w:szCs w:val="18"/>
              </w:rPr>
              <w:t>- 面向全校本科生和教师，全面开放人工智能实验室，支持教师发表较高水平的相关论文。</w:t>
            </w:r>
          </w:p>
          <w:p>
            <w:pPr>
              <w:rPr>
                <w:rFonts w:ascii="宋体" w:hAnsi="宋体" w:cs="宋体"/>
                <w:b/>
                <w:bCs/>
                <w:sz w:val="18"/>
                <w:szCs w:val="18"/>
              </w:rPr>
            </w:pPr>
            <w:r>
              <w:rPr>
                <w:rFonts w:hint="eastAsia" w:ascii="宋体" w:hAnsi="宋体" w:cs="宋体"/>
                <w:b/>
                <w:bCs/>
                <w:sz w:val="18"/>
                <w:szCs w:val="18"/>
              </w:rPr>
              <w:t>申购必要性：</w:t>
            </w:r>
          </w:p>
          <w:p>
            <w:pPr>
              <w:ind w:firstLine="360" w:firstLineChars="200"/>
              <w:rPr>
                <w:rFonts w:ascii="宋体" w:hAnsi="宋体" w:cs="宋体"/>
                <w:sz w:val="18"/>
                <w:szCs w:val="18"/>
              </w:rPr>
            </w:pPr>
            <w:r>
              <w:rPr>
                <w:rFonts w:hint="eastAsia" w:ascii="宋体" w:hAnsi="宋体" w:cs="宋体"/>
                <w:sz w:val="18"/>
                <w:szCs w:val="18"/>
              </w:rPr>
              <w:t>1、政策背景。</w:t>
            </w:r>
          </w:p>
          <w:p>
            <w:pPr>
              <w:ind w:firstLine="360" w:firstLineChars="200"/>
              <w:rPr>
                <w:rFonts w:ascii="宋体" w:hAnsi="宋体" w:cs="宋体"/>
                <w:sz w:val="18"/>
                <w:szCs w:val="18"/>
              </w:rPr>
            </w:pPr>
            <w:r>
              <w:rPr>
                <w:rFonts w:hint="eastAsia" w:ascii="宋体" w:hAnsi="宋体" w:cs="宋体"/>
                <w:sz w:val="18"/>
                <w:szCs w:val="18"/>
              </w:rPr>
              <w:t>党的十九大报告提出，推动互联网、大数据、人工智能和实体经济深度融合，国务院发布了《新一代人工智能发展规划》，我省也下达了《省促进大数据发展实施计划》及《省新一代人工智能发展规划》，提出了创新人才培养模式，建立健全多层次、多类型的大数据人才培养体系，培育大数据技术和应用创新型人才。鼓励高等院校设置数据科学和数据工程相关专业。</w:t>
            </w:r>
          </w:p>
          <w:p>
            <w:pPr>
              <w:ind w:firstLine="360" w:firstLineChars="200"/>
              <w:rPr>
                <w:rFonts w:ascii="宋体" w:hAnsi="宋体" w:cs="宋体"/>
                <w:sz w:val="18"/>
                <w:szCs w:val="18"/>
              </w:rPr>
            </w:pPr>
            <w:r>
              <w:rPr>
                <w:rFonts w:hint="eastAsia" w:ascii="宋体" w:hAnsi="宋体" w:cs="宋体"/>
                <w:sz w:val="18"/>
                <w:szCs w:val="18"/>
              </w:rPr>
              <w:t>2、</w:t>
            </w:r>
            <w:r>
              <w:rPr>
                <w:rFonts w:ascii="宋体" w:hAnsi="宋体" w:cs="宋体"/>
                <w:sz w:val="18"/>
                <w:szCs w:val="18"/>
              </w:rPr>
              <w:t>提高科研水平</w:t>
            </w:r>
          </w:p>
          <w:p>
            <w:pPr>
              <w:ind w:firstLine="360" w:firstLineChars="200"/>
              <w:rPr>
                <w:rFonts w:ascii="宋体" w:hAnsi="宋体" w:cs="宋体"/>
                <w:sz w:val="18"/>
                <w:szCs w:val="18"/>
              </w:rPr>
            </w:pPr>
            <w:r>
              <w:rPr>
                <w:rFonts w:ascii="宋体" w:hAnsi="宋体" w:cs="宋体"/>
                <w:sz w:val="18"/>
                <w:szCs w:val="18"/>
              </w:rPr>
              <w:t>“人工智能”的关键在于数据采集，数据分析与算法，智能应用等领域，将实验教学与科研相结合，将最新科研成果与实验教学相联系，用最新的知识去激励学生的学习热情，可以提高学生的学习兴趣，开阔学生视野，使学生既掌握了知识，又培养独立思考，认真探索和求实创新的能力。同时，通过大数据实训室的科研环境，老师也可进行大数据相关的科研项目，提升学校的科研实力。</w:t>
            </w:r>
          </w:p>
          <w:p>
            <w:pPr>
              <w:ind w:firstLine="360" w:firstLineChars="200"/>
              <w:rPr>
                <w:rFonts w:ascii="宋体" w:hAnsi="宋体" w:cs="宋体"/>
                <w:sz w:val="18"/>
                <w:szCs w:val="18"/>
              </w:rPr>
            </w:pPr>
            <w:r>
              <w:rPr>
                <w:rFonts w:hint="eastAsia" w:ascii="宋体" w:hAnsi="宋体" w:cs="宋体"/>
                <w:sz w:val="18"/>
                <w:szCs w:val="18"/>
              </w:rPr>
              <w:t>3、</w:t>
            </w:r>
            <w:r>
              <w:rPr>
                <w:rFonts w:ascii="宋体" w:hAnsi="宋体" w:cs="宋体"/>
                <w:sz w:val="18"/>
                <w:szCs w:val="18"/>
              </w:rPr>
              <w:t>提高学生的竞争力</w:t>
            </w:r>
          </w:p>
          <w:p>
            <w:pPr>
              <w:ind w:firstLine="360" w:firstLineChars="200"/>
              <w:rPr>
                <w:rFonts w:ascii="宋体" w:hAnsi="宋体" w:cs="宋体"/>
                <w:sz w:val="18"/>
                <w:szCs w:val="18"/>
              </w:rPr>
            </w:pPr>
            <w:r>
              <w:rPr>
                <w:rFonts w:ascii="宋体" w:hAnsi="宋体" w:cs="宋体"/>
                <w:sz w:val="18"/>
                <w:szCs w:val="18"/>
              </w:rPr>
              <w:t>“人工智能”被称为下一个世纪人类面临的又一发展机遇，大数据及人工智能技术将是未来改变人们 生活的十大技术之首。据初步统计，未来 5-10  年内，拥有人工智能与大数据技术专业相关学历或受过专业培训的人才将成为人力市场上最受青睐的技术人才。通过教学和实践的结合，方案设想与实际验证的结合， 提高学生的解决问题能力，积累实践经验，提升学生在相关行业的竞争力，培养基本功扎实、专业知识精通 的专业技术人才，以满足日益蓬勃发展的行业人才需求。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2" w:hRule="atLeast"/>
          <w:jc w:val="center"/>
        </w:trPr>
        <w:tc>
          <w:tcPr>
            <w:tcW w:w="850" w:type="dxa"/>
            <w:vMerge w:val="restart"/>
            <w:vAlign w:val="center"/>
          </w:tcPr>
          <w:p>
            <w:pPr>
              <w:spacing w:line="360" w:lineRule="exact"/>
              <w:jc w:val="center"/>
              <w:rPr>
                <w:rFonts w:ascii="宋体" w:hAnsi="宋体"/>
                <w:bCs/>
                <w:spacing w:val="16"/>
                <w:sz w:val="28"/>
                <w:szCs w:val="28"/>
              </w:rPr>
            </w:pPr>
            <w:r>
              <w:rPr>
                <w:rFonts w:hint="eastAsia" w:ascii="宋体" w:hAnsi="宋体"/>
                <w:bCs/>
                <w:spacing w:val="16"/>
                <w:sz w:val="28"/>
                <w:szCs w:val="28"/>
              </w:rPr>
              <w:t>调</w:t>
            </w:r>
          </w:p>
          <w:p>
            <w:pPr>
              <w:spacing w:line="360" w:lineRule="exact"/>
              <w:jc w:val="center"/>
              <w:rPr>
                <w:rFonts w:ascii="宋体" w:hAnsi="宋体"/>
                <w:bCs/>
                <w:spacing w:val="16"/>
                <w:sz w:val="28"/>
                <w:szCs w:val="28"/>
              </w:rPr>
            </w:pPr>
            <w:r>
              <w:rPr>
                <w:rFonts w:hint="eastAsia" w:ascii="宋体" w:hAnsi="宋体"/>
                <w:bCs/>
                <w:spacing w:val="16"/>
                <w:sz w:val="28"/>
                <w:szCs w:val="28"/>
              </w:rPr>
              <w:t>研</w:t>
            </w:r>
          </w:p>
          <w:p>
            <w:pPr>
              <w:spacing w:line="360" w:lineRule="exact"/>
              <w:jc w:val="center"/>
              <w:rPr>
                <w:rFonts w:ascii="宋体" w:hAnsi="宋体"/>
                <w:bCs/>
                <w:spacing w:val="16"/>
                <w:sz w:val="28"/>
                <w:szCs w:val="28"/>
              </w:rPr>
            </w:pPr>
            <w:r>
              <w:rPr>
                <w:rFonts w:hint="eastAsia" w:ascii="宋体" w:hAnsi="宋体"/>
                <w:bCs/>
                <w:spacing w:val="16"/>
                <w:sz w:val="28"/>
                <w:szCs w:val="28"/>
              </w:rPr>
              <w:t>情</w:t>
            </w:r>
          </w:p>
          <w:p>
            <w:pPr>
              <w:spacing w:line="360" w:lineRule="exact"/>
              <w:jc w:val="center"/>
              <w:rPr>
                <w:rFonts w:ascii="宋体" w:hAnsi="宋体"/>
                <w:bCs/>
                <w:color w:val="000000"/>
                <w:sz w:val="24"/>
              </w:rPr>
            </w:pPr>
            <w:r>
              <w:rPr>
                <w:rFonts w:hint="eastAsia" w:ascii="宋体" w:hAnsi="宋体"/>
                <w:bCs/>
                <w:spacing w:val="16"/>
                <w:sz w:val="28"/>
                <w:szCs w:val="28"/>
              </w:rPr>
              <w:t>况</w:t>
            </w:r>
          </w:p>
        </w:tc>
        <w:tc>
          <w:tcPr>
            <w:tcW w:w="8829" w:type="dxa"/>
            <w:gridSpan w:val="13"/>
          </w:tcPr>
          <w:p>
            <w:pPr>
              <w:spacing w:beforeLines="10" w:line="360" w:lineRule="exact"/>
              <w:ind w:left="119"/>
              <w:rPr>
                <w:rFonts w:ascii="宋体" w:hAnsi="宋体"/>
                <w:b/>
                <w:bCs/>
                <w:color w:val="000000"/>
                <w:szCs w:val="21"/>
              </w:rPr>
            </w:pPr>
            <w:r>
              <w:rPr>
                <w:rFonts w:hint="eastAsia" w:ascii="宋体" w:hAnsi="宋体"/>
                <w:bCs/>
                <w:szCs w:val="21"/>
              </w:rPr>
              <w:t>1.</w:t>
            </w:r>
            <w:r>
              <w:rPr>
                <w:rFonts w:hint="eastAsia" w:ascii="宋体" w:hAnsi="宋体"/>
                <w:color w:val="000000"/>
                <w:szCs w:val="21"/>
              </w:rPr>
              <w:t>本校有同类设备</w:t>
            </w:r>
            <w:r>
              <w:rPr>
                <w:rFonts w:hint="eastAsia" w:ascii="宋体" w:hAnsi="宋体"/>
                <w:color w:val="000000"/>
                <w:szCs w:val="21"/>
                <w:u w:val="single"/>
              </w:rPr>
              <w:t xml:space="preserve"> 0  </w:t>
            </w:r>
            <w:r>
              <w:rPr>
                <w:rFonts w:hint="eastAsia" w:ascii="宋体" w:hAnsi="宋体"/>
                <w:color w:val="000000"/>
                <w:szCs w:val="21"/>
              </w:rPr>
              <w:t>台，使用情况调研如下：（</w:t>
            </w:r>
            <w:r>
              <w:rPr>
                <w:rFonts w:hint="eastAsia" w:ascii="宋体" w:hAnsi="宋体"/>
                <w:bCs/>
                <w:szCs w:val="21"/>
              </w:rPr>
              <w:t>不够可附页）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850" w:type="dxa"/>
            <w:vMerge w:val="continue"/>
            <w:vAlign w:val="center"/>
          </w:tcPr>
          <w:p>
            <w:pPr>
              <w:spacing w:line="360" w:lineRule="exact"/>
              <w:ind w:left="120"/>
              <w:jc w:val="center"/>
              <w:rPr>
                <w:rFonts w:ascii="宋体" w:hAnsi="宋体"/>
                <w:bCs/>
                <w:szCs w:val="28"/>
              </w:rPr>
            </w:pPr>
          </w:p>
        </w:tc>
        <w:tc>
          <w:tcPr>
            <w:tcW w:w="2345" w:type="dxa"/>
            <w:gridSpan w:val="3"/>
            <w:vAlign w:val="center"/>
          </w:tcPr>
          <w:p>
            <w:pPr>
              <w:ind w:left="120"/>
              <w:jc w:val="center"/>
              <w:rPr>
                <w:rFonts w:ascii="宋体" w:hAnsi="宋体"/>
                <w:bCs/>
                <w:szCs w:val="21"/>
              </w:rPr>
            </w:pPr>
            <w:r>
              <w:rPr>
                <w:rFonts w:hint="eastAsia" w:ascii="宋体" w:hAnsi="宋体"/>
                <w:bCs/>
                <w:szCs w:val="21"/>
              </w:rPr>
              <w:t>学院</w:t>
            </w:r>
          </w:p>
        </w:tc>
        <w:tc>
          <w:tcPr>
            <w:tcW w:w="1617" w:type="dxa"/>
            <w:gridSpan w:val="2"/>
            <w:vAlign w:val="center"/>
          </w:tcPr>
          <w:p>
            <w:pPr>
              <w:ind w:left="120"/>
              <w:jc w:val="center"/>
              <w:rPr>
                <w:rFonts w:ascii="宋体" w:hAnsi="宋体"/>
                <w:bCs/>
                <w:szCs w:val="21"/>
              </w:rPr>
            </w:pPr>
            <w:r>
              <w:rPr>
                <w:rFonts w:hint="eastAsia" w:ascii="宋体" w:hAnsi="宋体"/>
                <w:bCs/>
                <w:szCs w:val="21"/>
              </w:rPr>
              <w:t>仪器设备编号</w:t>
            </w:r>
          </w:p>
        </w:tc>
        <w:tc>
          <w:tcPr>
            <w:tcW w:w="1701" w:type="dxa"/>
            <w:gridSpan w:val="4"/>
            <w:vAlign w:val="center"/>
          </w:tcPr>
          <w:p>
            <w:pPr>
              <w:jc w:val="center"/>
              <w:rPr>
                <w:rFonts w:ascii="宋体" w:hAnsi="宋体"/>
                <w:bCs/>
                <w:szCs w:val="21"/>
              </w:rPr>
            </w:pPr>
            <w:r>
              <w:rPr>
                <w:rFonts w:hint="eastAsia" w:ascii="宋体" w:hAnsi="宋体"/>
                <w:bCs/>
                <w:szCs w:val="21"/>
              </w:rPr>
              <w:t>仪器设备名称</w:t>
            </w:r>
          </w:p>
        </w:tc>
        <w:tc>
          <w:tcPr>
            <w:tcW w:w="2005" w:type="dxa"/>
            <w:gridSpan w:val="3"/>
            <w:vAlign w:val="center"/>
          </w:tcPr>
          <w:p>
            <w:pPr>
              <w:jc w:val="center"/>
              <w:rPr>
                <w:rFonts w:ascii="宋体" w:hAnsi="宋体"/>
                <w:bCs/>
                <w:szCs w:val="21"/>
              </w:rPr>
            </w:pPr>
            <w:r>
              <w:rPr>
                <w:rFonts w:hint="eastAsia" w:ascii="宋体" w:hAnsi="宋体"/>
                <w:bCs/>
                <w:szCs w:val="21"/>
              </w:rPr>
              <w:t>使用情况</w:t>
            </w:r>
            <w:r>
              <w:rPr>
                <w:rFonts w:ascii="宋体" w:hAnsi="宋体"/>
                <w:bCs/>
                <w:szCs w:val="21"/>
              </w:rPr>
              <w:br w:type="textWrapping"/>
            </w:r>
            <w:r>
              <w:rPr>
                <w:rFonts w:hint="eastAsia" w:ascii="宋体" w:hAnsi="宋体"/>
                <w:bCs/>
                <w:szCs w:val="21"/>
              </w:rPr>
              <w:t>(实验</w:t>
            </w:r>
            <w:r>
              <w:rPr>
                <w:rFonts w:ascii="宋体" w:hAnsi="宋体"/>
                <w:bCs/>
                <w:szCs w:val="21"/>
              </w:rPr>
              <w:t>学时数</w:t>
            </w:r>
            <w:r>
              <w:rPr>
                <w:rFonts w:hint="eastAsia" w:ascii="宋体" w:hAnsi="宋体"/>
                <w:bCs/>
                <w:szCs w:val="21"/>
              </w:rPr>
              <w:t>)</w:t>
            </w:r>
          </w:p>
        </w:tc>
        <w:tc>
          <w:tcPr>
            <w:tcW w:w="1161" w:type="dxa"/>
            <w:vAlign w:val="center"/>
          </w:tcPr>
          <w:p>
            <w:pPr>
              <w:jc w:val="center"/>
              <w:rPr>
                <w:rFonts w:ascii="宋体" w:hAnsi="宋体"/>
                <w:bCs/>
                <w:szCs w:val="21"/>
              </w:rPr>
            </w:pPr>
            <w:r>
              <w:rPr>
                <w:rFonts w:hint="eastAsia" w:ascii="宋体" w:hAnsi="宋体"/>
                <w:bCs/>
                <w:szCs w:val="21"/>
              </w:rPr>
              <w:t>是否开放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50" w:type="dxa"/>
            <w:vMerge w:val="continue"/>
            <w:vAlign w:val="center"/>
          </w:tcPr>
          <w:p>
            <w:pPr>
              <w:spacing w:line="360" w:lineRule="exact"/>
              <w:ind w:left="120"/>
              <w:jc w:val="center"/>
              <w:rPr>
                <w:rFonts w:ascii="宋体" w:hAnsi="宋体"/>
                <w:bCs/>
                <w:szCs w:val="28"/>
              </w:rPr>
            </w:pPr>
          </w:p>
        </w:tc>
        <w:tc>
          <w:tcPr>
            <w:tcW w:w="2345" w:type="dxa"/>
            <w:gridSpan w:val="3"/>
            <w:vAlign w:val="center"/>
          </w:tcPr>
          <w:p>
            <w:pPr>
              <w:widowControl/>
              <w:spacing w:line="330" w:lineRule="atLeast"/>
              <w:jc w:val="center"/>
              <w:rPr>
                <w:rFonts w:hint="eastAsia" w:ascii="ˎ̥" w:hAnsi="ˎ̥" w:cs="宋体"/>
                <w:color w:val="000000"/>
                <w:kern w:val="0"/>
                <w:sz w:val="18"/>
                <w:szCs w:val="18"/>
              </w:rPr>
            </w:pPr>
          </w:p>
        </w:tc>
        <w:tc>
          <w:tcPr>
            <w:tcW w:w="1617" w:type="dxa"/>
            <w:gridSpan w:val="2"/>
            <w:vAlign w:val="center"/>
          </w:tcPr>
          <w:p>
            <w:pPr>
              <w:widowControl/>
              <w:spacing w:line="330" w:lineRule="atLeast"/>
              <w:jc w:val="center"/>
              <w:rPr>
                <w:rFonts w:hint="eastAsia" w:ascii="ˎ̥" w:hAnsi="ˎ̥" w:cs="宋体"/>
                <w:color w:val="003366"/>
                <w:kern w:val="0"/>
                <w:sz w:val="18"/>
                <w:szCs w:val="18"/>
              </w:rPr>
            </w:pPr>
          </w:p>
        </w:tc>
        <w:tc>
          <w:tcPr>
            <w:tcW w:w="1701" w:type="dxa"/>
            <w:gridSpan w:val="4"/>
          </w:tcPr>
          <w:p>
            <w:pPr>
              <w:spacing w:line="360" w:lineRule="exact"/>
              <w:ind w:left="120"/>
              <w:rPr>
                <w:rFonts w:ascii="宋体" w:hAnsi="宋体"/>
                <w:bCs/>
                <w:sz w:val="18"/>
                <w:szCs w:val="18"/>
              </w:rPr>
            </w:pPr>
          </w:p>
        </w:tc>
        <w:tc>
          <w:tcPr>
            <w:tcW w:w="2005" w:type="dxa"/>
            <w:gridSpan w:val="3"/>
          </w:tcPr>
          <w:p>
            <w:pPr>
              <w:spacing w:line="360" w:lineRule="exact"/>
              <w:ind w:left="120"/>
              <w:rPr>
                <w:rFonts w:ascii="宋体" w:hAnsi="宋体"/>
                <w:bCs/>
                <w:sz w:val="18"/>
                <w:szCs w:val="18"/>
              </w:rPr>
            </w:pPr>
          </w:p>
        </w:tc>
        <w:tc>
          <w:tcPr>
            <w:tcW w:w="1161" w:type="dxa"/>
          </w:tcPr>
          <w:p>
            <w:pPr>
              <w:spacing w:line="360" w:lineRule="exact"/>
              <w:ind w:left="120"/>
              <w:rPr>
                <w:rFonts w:ascii="宋体" w:hAnsi="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50" w:type="dxa"/>
            <w:vMerge w:val="continue"/>
          </w:tcPr>
          <w:p>
            <w:pPr>
              <w:spacing w:line="360" w:lineRule="exact"/>
              <w:ind w:left="120"/>
              <w:rPr>
                <w:rFonts w:ascii="宋体" w:hAnsi="宋体"/>
                <w:sz w:val="24"/>
              </w:rPr>
            </w:pPr>
          </w:p>
        </w:tc>
        <w:tc>
          <w:tcPr>
            <w:tcW w:w="8829" w:type="dxa"/>
            <w:gridSpan w:val="13"/>
          </w:tcPr>
          <w:p>
            <w:pPr>
              <w:tabs>
                <w:tab w:val="left" w:pos="462"/>
              </w:tabs>
              <w:spacing w:line="400" w:lineRule="exact"/>
              <w:jc w:val="left"/>
              <w:rPr>
                <w:rFonts w:ascii="Calibri" w:hAnsi="Calibri"/>
                <w:bCs/>
                <w:szCs w:val="21"/>
              </w:rPr>
            </w:pPr>
            <w:r>
              <w:rPr>
                <w:rFonts w:ascii="Calibri" w:hAnsi="Calibri"/>
                <w:bCs/>
                <w:szCs w:val="21"/>
              </w:rPr>
              <w:t>2</w:t>
            </w:r>
            <w:r>
              <w:rPr>
                <w:rFonts w:hint="eastAsia" w:ascii="Calibri" w:hAnsi="宋体"/>
                <w:bCs/>
                <w:szCs w:val="21"/>
              </w:rPr>
              <w:t>.国内外</w:t>
            </w:r>
            <w:r>
              <w:rPr>
                <w:rFonts w:ascii="Calibri" w:hAnsi="宋体"/>
                <w:bCs/>
                <w:szCs w:val="21"/>
              </w:rPr>
              <w:t>同类仪器设备调研</w:t>
            </w:r>
            <w:r>
              <w:rPr>
                <w:rFonts w:hint="eastAsia" w:ascii="Calibri" w:hAnsi="宋体"/>
                <w:bCs/>
                <w:szCs w:val="21"/>
              </w:rPr>
              <w:t>，</w:t>
            </w:r>
            <w:r>
              <w:rPr>
                <w:rFonts w:ascii="Calibri" w:hAnsi="宋体"/>
                <w:bCs/>
                <w:szCs w:val="21"/>
              </w:rPr>
              <w:t>列出至少</w:t>
            </w:r>
            <w:r>
              <w:rPr>
                <w:rFonts w:hint="eastAsia" w:ascii="Calibri" w:hAnsi="宋体"/>
                <w:bCs/>
                <w:szCs w:val="21"/>
              </w:rPr>
              <w:t>两家</w:t>
            </w:r>
            <w:r>
              <w:rPr>
                <w:rFonts w:ascii="Calibri" w:hAnsi="宋体"/>
                <w:bCs/>
                <w:szCs w:val="21"/>
              </w:rPr>
              <w:t>可供货厂商及相关情况</w:t>
            </w:r>
            <w:r>
              <w:rPr>
                <w:rFonts w:hint="eastAsia" w:ascii="Calibri" w:hAnsi="Calibri"/>
                <w:bCs/>
                <w:szCs w:val="21"/>
              </w:rPr>
              <w:t>（</w:t>
            </w:r>
            <w:r>
              <w:rPr>
                <w:rFonts w:ascii="Calibri" w:hAnsi="宋体"/>
                <w:bCs/>
                <w:szCs w:val="21"/>
              </w:rPr>
              <w:t>仪器性能、售后、价格等的比较，不够可附页</w:t>
            </w:r>
            <w:r>
              <w:rPr>
                <w:rFonts w:hint="eastAsia" w:ascii="Calibri" w:hAnsi="Calibri"/>
                <w:bCs/>
                <w:szCs w:val="21"/>
              </w:rPr>
              <w:t>）</w:t>
            </w:r>
          </w:p>
          <w:p>
            <w:pPr>
              <w:autoSpaceDE w:val="0"/>
              <w:autoSpaceDN w:val="0"/>
              <w:ind w:right="149" w:rightChars="71"/>
              <w:jc w:val="left"/>
              <w:rPr>
                <w:rFonts w:ascii="宋体" w:hAnsi="宋体"/>
                <w:b/>
                <w:szCs w:val="21"/>
              </w:rPr>
            </w:pPr>
          </w:p>
          <w:p>
            <w:pPr>
              <w:autoSpaceDE w:val="0"/>
              <w:autoSpaceDN w:val="0"/>
              <w:ind w:right="149" w:rightChars="71" w:firstLine="420" w:firstLineChars="200"/>
              <w:jc w:val="left"/>
              <w:rPr>
                <w:rFonts w:ascii="宋体" w:hAnsi="宋体"/>
                <w:b/>
                <w:szCs w:val="21"/>
              </w:rPr>
            </w:pPr>
            <w:r>
              <w:rPr>
                <w:rFonts w:hint="eastAsia" w:ascii="宋体" w:hAnsi="宋体" w:eastAsia="宋体"/>
                <w:szCs w:val="21"/>
              </w:rPr>
              <w:t>我们调研了国内外多个厂家，包括</w:t>
            </w:r>
            <w:r>
              <w:rPr>
                <w:rFonts w:hint="eastAsia" w:ascii="Calibri" w:hAnsi="Calibri"/>
                <w:bCs/>
                <w:szCs w:val="21"/>
              </w:rPr>
              <w:t>杭州睿数科技有限公司、睿翼教育、西普阳光和慧科集团，</w:t>
            </w:r>
            <w:r>
              <w:rPr>
                <w:rFonts w:hint="eastAsia" w:ascii="宋体" w:hAnsi="宋体" w:eastAsia="宋体"/>
                <w:szCs w:val="21"/>
              </w:rPr>
              <w:t>分别从产品功能、性能、技术指标、价格等项目进行比较，部分数据对比如下表，综合技术、价格、服务等因素，慧科集团相比于睿数科技、睿翼教育和西普阳光产品有一定的优势。</w:t>
            </w:r>
          </w:p>
          <w:tbl>
            <w:tblPr>
              <w:tblStyle w:val="10"/>
              <w:tblW w:w="8702" w:type="dxa"/>
              <w:jc w:val="center"/>
              <w:tblInd w:w="0" w:type="dxa"/>
              <w:tblLayout w:type="fixed"/>
              <w:tblCellMar>
                <w:top w:w="0" w:type="dxa"/>
                <w:left w:w="108" w:type="dxa"/>
                <w:bottom w:w="0" w:type="dxa"/>
                <w:right w:w="108" w:type="dxa"/>
              </w:tblCellMar>
            </w:tblPr>
            <w:tblGrid>
              <w:gridCol w:w="704"/>
              <w:gridCol w:w="587"/>
              <w:gridCol w:w="1510"/>
              <w:gridCol w:w="2025"/>
              <w:gridCol w:w="1882"/>
              <w:gridCol w:w="1939"/>
              <w:gridCol w:w="55"/>
            </w:tblGrid>
            <w:tr>
              <w:tblPrEx>
                <w:tblLayout w:type="fixed"/>
                <w:tblCellMar>
                  <w:top w:w="0" w:type="dxa"/>
                  <w:left w:w="108" w:type="dxa"/>
                  <w:bottom w:w="0" w:type="dxa"/>
                  <w:right w:w="108" w:type="dxa"/>
                </w:tblCellMar>
              </w:tblPrEx>
              <w:trPr>
                <w:gridAfter w:val="1"/>
                <w:wAfter w:w="55" w:type="dxa"/>
                <w:trHeight w:val="300"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序号</w:t>
                  </w:r>
                </w:p>
              </w:tc>
              <w:tc>
                <w:tcPr>
                  <w:tcW w:w="587" w:type="dxa"/>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功能</w:t>
                  </w:r>
                </w:p>
              </w:tc>
              <w:tc>
                <w:tcPr>
                  <w:tcW w:w="1510"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Calibri" w:hAnsi="Calibri"/>
                      <w:bCs/>
                      <w:szCs w:val="21"/>
                    </w:rPr>
                    <w:t>杭州睿数科技有限公司</w:t>
                  </w:r>
                </w:p>
              </w:tc>
              <w:tc>
                <w:tcPr>
                  <w:tcW w:w="2025"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睿翼教育</w:t>
                  </w:r>
                </w:p>
              </w:tc>
              <w:tc>
                <w:tcPr>
                  <w:tcW w:w="1882"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西普阳光</w:t>
                  </w:r>
                </w:p>
              </w:tc>
              <w:tc>
                <w:tcPr>
                  <w:tcW w:w="1939" w:type="dxa"/>
                  <w:tcBorders>
                    <w:top w:val="single" w:color="auto" w:sz="4" w:space="0"/>
                    <w:left w:val="nil"/>
                    <w:bottom w:val="single" w:color="auto" w:sz="4" w:space="0"/>
                    <w:right w:val="single" w:color="auto" w:sz="4" w:space="0"/>
                  </w:tcBorders>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慧科集团</w:t>
                  </w:r>
                </w:p>
              </w:tc>
            </w:tr>
            <w:tr>
              <w:tblPrEx>
                <w:tblLayout w:type="fixed"/>
                <w:tblCellMar>
                  <w:top w:w="0" w:type="dxa"/>
                  <w:left w:w="108" w:type="dxa"/>
                  <w:bottom w:w="0" w:type="dxa"/>
                  <w:right w:w="108" w:type="dxa"/>
                </w:tblCellMar>
              </w:tblPrEx>
              <w:trPr>
                <w:gridAfter w:val="1"/>
                <w:wAfter w:w="55" w:type="dxa"/>
                <w:trHeight w:val="300"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587" w:type="dxa"/>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价格</w:t>
                  </w:r>
                </w:p>
              </w:tc>
              <w:tc>
                <w:tcPr>
                  <w:tcW w:w="1510"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220000</w:t>
                  </w:r>
                </w:p>
              </w:tc>
              <w:tc>
                <w:tcPr>
                  <w:tcW w:w="2025"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320000</w:t>
                  </w:r>
                </w:p>
              </w:tc>
              <w:tc>
                <w:tcPr>
                  <w:tcW w:w="1882"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226500</w:t>
                  </w:r>
                </w:p>
              </w:tc>
              <w:tc>
                <w:tcPr>
                  <w:tcW w:w="1939" w:type="dxa"/>
                  <w:tcBorders>
                    <w:top w:val="single" w:color="auto" w:sz="4" w:space="0"/>
                    <w:left w:val="nil"/>
                    <w:bottom w:val="single" w:color="auto" w:sz="4" w:space="0"/>
                    <w:right w:val="single" w:color="auto" w:sz="4" w:space="0"/>
                  </w:tcBorders>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180000</w:t>
                  </w:r>
                </w:p>
              </w:tc>
            </w:tr>
            <w:tr>
              <w:tblPrEx>
                <w:tblLayout w:type="fixed"/>
                <w:tblCellMar>
                  <w:top w:w="0" w:type="dxa"/>
                  <w:left w:w="108" w:type="dxa"/>
                  <w:bottom w:w="0" w:type="dxa"/>
                  <w:right w:w="108" w:type="dxa"/>
                </w:tblCellMar>
              </w:tblPrEx>
              <w:trPr>
                <w:trHeight w:val="1120" w:hRule="atLeast"/>
                <w:jc w:val="center"/>
              </w:trPr>
              <w:tc>
                <w:tcPr>
                  <w:tcW w:w="704" w:type="dxa"/>
                  <w:tcBorders>
                    <w:top w:val="nil"/>
                    <w:left w:val="single" w:color="auto" w:sz="4" w:space="0"/>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2</w:t>
                  </w:r>
                </w:p>
              </w:tc>
              <w:tc>
                <w:tcPr>
                  <w:tcW w:w="587" w:type="dxa"/>
                  <w:tcBorders>
                    <w:top w:val="nil"/>
                    <w:left w:val="nil"/>
                    <w:bottom w:val="single" w:color="auto" w:sz="4" w:space="0"/>
                    <w:right w:val="single" w:color="auto" w:sz="4" w:space="0"/>
                  </w:tcBorders>
                  <w:shd w:val="clear" w:color="auto" w:fill="auto"/>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课程资源</w:t>
                  </w:r>
                </w:p>
              </w:tc>
              <w:tc>
                <w:tcPr>
                  <w:tcW w:w="151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460</w:t>
                  </w:r>
                </w:p>
              </w:tc>
              <w:tc>
                <w:tcPr>
                  <w:tcW w:w="2025"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宋体" w:hAnsi="宋体" w:eastAsia="宋体" w:cs="宋体"/>
                      <w:color w:val="000000"/>
                      <w:kern w:val="0"/>
                      <w:szCs w:val="21"/>
                    </w:rPr>
                    <w:t>20</w:t>
                  </w:r>
                </w:p>
              </w:tc>
              <w:tc>
                <w:tcPr>
                  <w:tcW w:w="188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宋体" w:hAnsi="宋体" w:eastAsia="宋体" w:cs="宋体"/>
                      <w:color w:val="000000"/>
                      <w:kern w:val="0"/>
                      <w:szCs w:val="21"/>
                    </w:rPr>
                    <w:t>50</w:t>
                  </w:r>
                </w:p>
              </w:tc>
              <w:tc>
                <w:tcPr>
                  <w:tcW w:w="1994" w:type="dxa"/>
                  <w:gridSpan w:val="2"/>
                  <w:tcBorders>
                    <w:top w:val="nil"/>
                    <w:left w:val="nil"/>
                    <w:bottom w:val="single" w:color="auto" w:sz="4" w:space="0"/>
                    <w:right w:val="single" w:color="auto" w:sz="4" w:space="0"/>
                  </w:tcBorders>
                  <w:vAlign w:val="center"/>
                </w:tcPr>
                <w:p>
                  <w:pPr>
                    <w:widowControl/>
                    <w:spacing w:line="276" w:lineRule="auto"/>
                    <w:jc w:val="center"/>
                    <w:rPr>
                      <w:rFonts w:ascii="宋体" w:hAnsi="宋体" w:eastAsia="宋体" w:cs="宋体"/>
                      <w:color w:val="000000"/>
                      <w:kern w:val="0"/>
                      <w:szCs w:val="21"/>
                      <w:highlight w:val="yellow"/>
                    </w:rPr>
                  </w:pPr>
                  <w:r>
                    <w:rPr>
                      <w:rFonts w:hint="eastAsia" w:ascii="宋体" w:hAnsi="宋体" w:eastAsia="宋体" w:cs="宋体"/>
                      <w:color w:val="000000"/>
                      <w:kern w:val="0"/>
                      <w:szCs w:val="21"/>
                    </w:rPr>
                    <w:t>490</w:t>
                  </w:r>
                </w:p>
              </w:tc>
            </w:tr>
            <w:tr>
              <w:tblPrEx>
                <w:tblLayout w:type="fixed"/>
                <w:tblCellMar>
                  <w:top w:w="0" w:type="dxa"/>
                  <w:left w:w="108" w:type="dxa"/>
                  <w:bottom w:w="0" w:type="dxa"/>
                  <w:right w:w="108" w:type="dxa"/>
                </w:tblCellMar>
              </w:tblPrEx>
              <w:trPr>
                <w:trHeight w:val="1680" w:hRule="atLeast"/>
                <w:jc w:val="center"/>
              </w:trPr>
              <w:tc>
                <w:tcPr>
                  <w:tcW w:w="704" w:type="dxa"/>
                  <w:tcBorders>
                    <w:top w:val="nil"/>
                    <w:left w:val="single" w:color="auto" w:sz="4" w:space="0"/>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3</w:t>
                  </w:r>
                </w:p>
              </w:tc>
              <w:tc>
                <w:tcPr>
                  <w:tcW w:w="587" w:type="dxa"/>
                  <w:tcBorders>
                    <w:top w:val="nil"/>
                    <w:left w:val="nil"/>
                    <w:bottom w:val="single" w:color="auto" w:sz="4" w:space="0"/>
                    <w:right w:val="single" w:color="auto" w:sz="4" w:space="0"/>
                  </w:tcBorders>
                  <w:shd w:val="clear" w:color="auto" w:fill="auto"/>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虚拟化管理</w:t>
                  </w:r>
                </w:p>
              </w:tc>
              <w:tc>
                <w:tcPr>
                  <w:tcW w:w="151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提供虚拟机使用状态情况，能够看到各个节点资源使用情况，如虚拟机、课程、学生关联情况。提供关闭各个节点的虚拟机功能。能够远程协助查看学员的虚拟机使用情况。</w:t>
                  </w:r>
                </w:p>
              </w:tc>
              <w:tc>
                <w:tcPr>
                  <w:tcW w:w="2025"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可远程查看虚拟机的使用情况，但是不能够远程关闭虚拟机和对虚拟机进行远程协助。</w:t>
                  </w:r>
                </w:p>
              </w:tc>
              <w:tc>
                <w:tcPr>
                  <w:tcW w:w="188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提供虚拟机使用状态情况，能够看到各个节点资源使用情况，如虚拟机、课程、学生关联情况。提供关闭各个节点的虚拟机功能。能够远程协助查看学员的虚拟机使用情况。</w:t>
                  </w:r>
                </w:p>
              </w:tc>
              <w:tc>
                <w:tcPr>
                  <w:tcW w:w="1994" w:type="dxa"/>
                  <w:gridSpan w:val="2"/>
                  <w:tcBorders>
                    <w:top w:val="nil"/>
                    <w:left w:val="nil"/>
                    <w:bottom w:val="single" w:color="auto" w:sz="4" w:space="0"/>
                    <w:right w:val="single" w:color="auto" w:sz="4" w:space="0"/>
                  </w:tcBorders>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支持 KVM 虚拟化</w:t>
                  </w:r>
                </w:p>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、支持 CPU 虚拟化</w:t>
                  </w:r>
                </w:p>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、支持网络虚拟化</w:t>
                  </w:r>
                </w:p>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、支持虚拟机管理。</w:t>
                  </w:r>
                </w:p>
              </w:tc>
            </w:tr>
            <w:tr>
              <w:tblPrEx>
                <w:tblLayout w:type="fixed"/>
                <w:tblCellMar>
                  <w:top w:w="0" w:type="dxa"/>
                  <w:left w:w="108" w:type="dxa"/>
                  <w:bottom w:w="0" w:type="dxa"/>
                  <w:right w:w="108" w:type="dxa"/>
                </w:tblCellMar>
              </w:tblPrEx>
              <w:trPr>
                <w:trHeight w:val="2080" w:hRule="atLeast"/>
                <w:jc w:val="center"/>
              </w:trPr>
              <w:tc>
                <w:tcPr>
                  <w:tcW w:w="704" w:type="dxa"/>
                  <w:tcBorders>
                    <w:top w:val="nil"/>
                    <w:left w:val="single" w:color="auto" w:sz="4" w:space="0"/>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4</w:t>
                  </w:r>
                </w:p>
              </w:tc>
              <w:tc>
                <w:tcPr>
                  <w:tcW w:w="587" w:type="dxa"/>
                  <w:tcBorders>
                    <w:top w:val="nil"/>
                    <w:left w:val="nil"/>
                    <w:bottom w:val="single" w:color="auto" w:sz="4" w:space="0"/>
                    <w:right w:val="single" w:color="auto" w:sz="4" w:space="0"/>
                  </w:tcBorders>
                  <w:shd w:val="clear" w:color="auto" w:fill="auto"/>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虚拟机实验形式</w:t>
                  </w:r>
                </w:p>
              </w:tc>
              <w:tc>
                <w:tcPr>
                  <w:tcW w:w="151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rPr>
                    <w:t>多种实验形式可供用户选择：VNC虚拟机、Notebook；VNC实验可以实现虚拟机与本地文件互传。</w:t>
                  </w:r>
                </w:p>
              </w:tc>
              <w:tc>
                <w:tcPr>
                  <w:tcW w:w="2025"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虚拟机模块只提供</w:t>
                  </w:r>
                  <w:r>
                    <w:rPr>
                      <w:rFonts w:hint="eastAsia" w:ascii="宋体" w:hAnsi="宋体"/>
                    </w:rPr>
                    <w:t>Notebook</w:t>
                  </w:r>
                  <w:r>
                    <w:rPr>
                      <w:rFonts w:hint="eastAsia" w:ascii="宋体" w:hAnsi="宋体" w:eastAsia="宋体" w:cs="宋体"/>
                      <w:color w:val="000000"/>
                      <w:kern w:val="0"/>
                      <w:szCs w:val="21"/>
                    </w:rPr>
                    <w:t>。</w:t>
                  </w:r>
                </w:p>
              </w:tc>
              <w:tc>
                <w:tcPr>
                  <w:tcW w:w="1882" w:type="dxa"/>
                  <w:tcBorders>
                    <w:top w:val="nil"/>
                    <w:left w:val="nil"/>
                    <w:bottom w:val="single" w:color="auto" w:sz="4" w:space="0"/>
                    <w:right w:val="single" w:color="auto" w:sz="4" w:space="0"/>
                  </w:tcBorders>
                  <w:shd w:val="clear" w:color="auto" w:fill="auto"/>
                  <w:vAlign w:val="center"/>
                </w:tcPr>
                <w:p>
                  <w:pPr>
                    <w:widowControl/>
                    <w:spacing w:line="276" w:lineRule="auto"/>
                    <w:jc w:val="center"/>
                    <w:rPr>
                      <w:rFonts w:ascii="宋体" w:hAnsi="宋体" w:eastAsia="宋体" w:cs="宋体"/>
                      <w:color w:val="000000"/>
                      <w:kern w:val="0"/>
                      <w:szCs w:val="21"/>
                    </w:rPr>
                  </w:pPr>
                  <w:r>
                    <w:rPr>
                      <w:rFonts w:hint="eastAsia" w:ascii="宋体" w:hAnsi="宋体"/>
                    </w:rPr>
                    <w:t>多种实验形式可供用户选择：VNC虚拟机、WebIDE编程、SSH、Notebook；VNC实验可以实现虚拟机与本地文件互传。</w:t>
                  </w:r>
                </w:p>
              </w:tc>
              <w:tc>
                <w:tcPr>
                  <w:tcW w:w="1994" w:type="dxa"/>
                  <w:gridSpan w:val="2"/>
                  <w:tcBorders>
                    <w:top w:val="nil"/>
                    <w:left w:val="nil"/>
                    <w:bottom w:val="single" w:color="auto" w:sz="4" w:space="0"/>
                    <w:right w:val="single" w:color="auto" w:sz="4" w:space="0"/>
                  </w:tcBorders>
                  <w:vAlign w:val="center"/>
                </w:tcPr>
                <w:p>
                  <w:pPr>
                    <w:widowControl/>
                    <w:spacing w:line="276" w:lineRule="auto"/>
                    <w:jc w:val="center"/>
                    <w:rPr>
                      <w:rFonts w:ascii="宋体" w:hAnsi="宋体"/>
                    </w:rPr>
                  </w:pPr>
                  <w:r>
                    <w:rPr>
                      <w:rFonts w:hint="eastAsia" w:ascii="宋体" w:hAnsi="宋体"/>
                    </w:rPr>
                    <w:t>支持Jupyter Notebook、Linux Desktop、Windows及VNC等实验环境。</w:t>
                  </w:r>
                </w:p>
              </w:tc>
            </w:tr>
            <w:tr>
              <w:tblPrEx>
                <w:tblLayout w:type="fixed"/>
                <w:tblCellMar>
                  <w:top w:w="0" w:type="dxa"/>
                  <w:left w:w="108" w:type="dxa"/>
                  <w:bottom w:w="0" w:type="dxa"/>
                  <w:right w:w="108" w:type="dxa"/>
                </w:tblCellMar>
              </w:tblPrEx>
              <w:trPr>
                <w:trHeight w:val="2800" w:hRule="atLeast"/>
                <w:jc w:val="center"/>
              </w:trPr>
              <w:tc>
                <w:tcPr>
                  <w:tcW w:w="704" w:type="dxa"/>
                  <w:tcBorders>
                    <w:top w:val="nil"/>
                    <w:left w:val="single" w:color="auto" w:sz="4" w:space="0"/>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ascii="宋体" w:hAnsi="宋体" w:eastAsia="宋体" w:cs="宋体"/>
                      <w:color w:val="000000"/>
                      <w:kern w:val="0"/>
                      <w:szCs w:val="21"/>
                    </w:rPr>
                    <w:t>5</w:t>
                  </w:r>
                </w:p>
              </w:tc>
              <w:tc>
                <w:tcPr>
                  <w:tcW w:w="587" w:type="dxa"/>
                  <w:tcBorders>
                    <w:top w:val="nil"/>
                    <w:left w:val="nil"/>
                    <w:bottom w:val="single" w:color="auto" w:sz="4" w:space="0"/>
                    <w:right w:val="single" w:color="auto" w:sz="4" w:space="0"/>
                  </w:tcBorders>
                  <w:shd w:val="clear" w:color="auto" w:fill="auto"/>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课程内容</w:t>
                  </w:r>
                </w:p>
              </w:tc>
              <w:tc>
                <w:tcPr>
                  <w:tcW w:w="151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系统基础与编程语言、深度学习框架（</w:t>
                  </w:r>
                  <w:r>
                    <w:rPr>
                      <w:rFonts w:hint="eastAsia" w:ascii="宋体" w:hAnsi="宋体"/>
                      <w:color w:val="000000" w:themeColor="text1"/>
                    </w:rPr>
                    <w:t>Tensor</w:t>
                  </w:r>
                  <w:r>
                    <w:rPr>
                      <w:rFonts w:ascii="宋体" w:hAnsi="宋体"/>
                      <w:color w:val="000000" w:themeColor="text1"/>
                    </w:rPr>
                    <w:t>F</w:t>
                  </w:r>
                  <w:r>
                    <w:rPr>
                      <w:rFonts w:hint="eastAsia" w:ascii="宋体" w:hAnsi="宋体"/>
                      <w:color w:val="000000" w:themeColor="text1"/>
                    </w:rPr>
                    <w:t>low、Pytorch、PaddlePaddle</w:t>
                  </w:r>
                  <w:r>
                    <w:rPr>
                      <w:rFonts w:hint="eastAsia" w:ascii="宋体" w:hAnsi="宋体" w:eastAsia="宋体" w:cs="宋体"/>
                      <w:color w:val="000000"/>
                      <w:kern w:val="0"/>
                      <w:szCs w:val="21"/>
                    </w:rPr>
                    <w:t>）、机器学习算法、深度学习算法、计算机视觉、自然语言处理、语音识别、人工智能安全</w:t>
                  </w:r>
                </w:p>
              </w:tc>
              <w:tc>
                <w:tcPr>
                  <w:tcW w:w="2025"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编程语言、深度学习框架（</w:t>
                  </w:r>
                  <w:r>
                    <w:rPr>
                      <w:rFonts w:hint="eastAsia" w:ascii="宋体" w:hAnsi="宋体"/>
                      <w:color w:val="000000" w:themeColor="text1"/>
                    </w:rPr>
                    <w:t>Tensor</w:t>
                  </w:r>
                  <w:r>
                    <w:rPr>
                      <w:rFonts w:ascii="宋体" w:hAnsi="宋体"/>
                      <w:color w:val="000000" w:themeColor="text1"/>
                    </w:rPr>
                    <w:t>F</w:t>
                  </w:r>
                  <w:r>
                    <w:rPr>
                      <w:rFonts w:hint="eastAsia" w:ascii="宋体" w:hAnsi="宋体"/>
                      <w:color w:val="000000" w:themeColor="text1"/>
                    </w:rPr>
                    <w:t>low、Pytorch</w:t>
                  </w:r>
                  <w:r>
                    <w:rPr>
                      <w:rFonts w:hint="eastAsia" w:ascii="宋体" w:hAnsi="宋体" w:eastAsia="宋体" w:cs="宋体"/>
                      <w:color w:val="000000"/>
                      <w:kern w:val="0"/>
                      <w:szCs w:val="21"/>
                    </w:rPr>
                    <w:t>）、机器学习算法、深度学习算法、计算机视觉、自然语言处理、语音识别</w:t>
                  </w:r>
                </w:p>
              </w:tc>
              <w:tc>
                <w:tcPr>
                  <w:tcW w:w="188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系统基础与编程语言、深度学习框架（</w:t>
                  </w:r>
                  <w:r>
                    <w:rPr>
                      <w:rFonts w:hint="eastAsia" w:ascii="宋体" w:hAnsi="宋体"/>
                      <w:color w:val="000000" w:themeColor="text1"/>
                    </w:rPr>
                    <w:t>Tensor</w:t>
                  </w:r>
                  <w:r>
                    <w:rPr>
                      <w:rFonts w:ascii="宋体" w:hAnsi="宋体"/>
                      <w:color w:val="000000" w:themeColor="text1"/>
                    </w:rPr>
                    <w:t>F</w:t>
                  </w:r>
                  <w:r>
                    <w:rPr>
                      <w:rFonts w:hint="eastAsia" w:ascii="宋体" w:hAnsi="宋体"/>
                      <w:color w:val="000000" w:themeColor="text1"/>
                    </w:rPr>
                    <w:t>low、Pytorch、PaddlePaddle</w:t>
                  </w:r>
                  <w:r>
                    <w:rPr>
                      <w:rFonts w:hint="eastAsia" w:ascii="宋体" w:hAnsi="宋体" w:eastAsia="宋体" w:cs="宋体"/>
                      <w:color w:val="000000"/>
                      <w:kern w:val="0"/>
                      <w:szCs w:val="21"/>
                    </w:rPr>
                    <w:t>）、机器学习算法、深度学习算法、计算机视觉、自然语言处理、语音识别、人工智能安全</w:t>
                  </w:r>
                </w:p>
              </w:tc>
              <w:tc>
                <w:tcPr>
                  <w:tcW w:w="1994" w:type="dxa"/>
                  <w:gridSpan w:val="2"/>
                  <w:tcBorders>
                    <w:top w:val="nil"/>
                    <w:left w:val="nil"/>
                    <w:bottom w:val="single" w:color="auto" w:sz="4" w:space="0"/>
                    <w:right w:val="single" w:color="auto" w:sz="4" w:space="0"/>
                  </w:tcBorders>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python程序设计、Linux操作系统、MySQL数据库技术、NoSQL数据库技术、数据仓库理论与实践、Python科学计算、Java Web云端开发技术、机器学习、计算机视觉、网络爬虫与数据收集、数据可视化、深度学习、自然语言处理</w:t>
                  </w:r>
                </w:p>
              </w:tc>
            </w:tr>
            <w:tr>
              <w:tblPrEx>
                <w:tblLayout w:type="fixed"/>
                <w:tblCellMar>
                  <w:top w:w="0" w:type="dxa"/>
                  <w:left w:w="108" w:type="dxa"/>
                  <w:bottom w:w="0" w:type="dxa"/>
                  <w:right w:w="108" w:type="dxa"/>
                </w:tblCellMar>
              </w:tblPrEx>
              <w:trPr>
                <w:trHeight w:val="1400" w:hRule="atLeast"/>
                <w:jc w:val="center"/>
              </w:trPr>
              <w:tc>
                <w:tcPr>
                  <w:tcW w:w="704" w:type="dxa"/>
                  <w:tcBorders>
                    <w:top w:val="nil"/>
                    <w:left w:val="single" w:color="auto" w:sz="4" w:space="0"/>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ascii="宋体" w:hAnsi="宋体" w:eastAsia="宋体" w:cs="宋体"/>
                      <w:color w:val="000000"/>
                      <w:kern w:val="0"/>
                      <w:szCs w:val="21"/>
                    </w:rPr>
                    <w:t>6</w:t>
                  </w:r>
                </w:p>
              </w:tc>
              <w:tc>
                <w:tcPr>
                  <w:tcW w:w="587" w:type="dxa"/>
                  <w:tcBorders>
                    <w:top w:val="nil"/>
                    <w:left w:val="nil"/>
                    <w:bottom w:val="single" w:color="auto" w:sz="4" w:space="0"/>
                    <w:right w:val="single" w:color="auto" w:sz="4" w:space="0"/>
                  </w:tcBorders>
                  <w:shd w:val="clear" w:color="auto" w:fill="auto"/>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考试管理</w:t>
                  </w:r>
                </w:p>
              </w:tc>
              <w:tc>
                <w:tcPr>
                  <w:tcW w:w="151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提供灵活的试卷管理功能，可选择是否考试结束显示成绩、是否显示答案、显示方式、考试分析、试题使用率、错题率的等功能。</w:t>
                  </w:r>
                </w:p>
              </w:tc>
              <w:tc>
                <w:tcPr>
                  <w:tcW w:w="2025"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提供考试功能，可对指定班级或个人下发考试任务，学员需在规定时间内完成此任务。</w:t>
                  </w:r>
                </w:p>
              </w:tc>
              <w:tc>
                <w:tcPr>
                  <w:tcW w:w="188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提供灵活的试卷管理功能，可选择是否考试结束显示成绩、是否显示答案、显示方式、考试分析、试题使用率、错题率的等功能。</w:t>
                  </w:r>
                </w:p>
              </w:tc>
              <w:tc>
                <w:tcPr>
                  <w:tcW w:w="1994" w:type="dxa"/>
                  <w:gridSpan w:val="2"/>
                  <w:tcBorders>
                    <w:top w:val="nil"/>
                    <w:left w:val="nil"/>
                    <w:bottom w:val="single" w:color="auto" w:sz="4" w:space="0"/>
                    <w:right w:val="single" w:color="auto" w:sz="4" w:space="0"/>
                  </w:tcBorders>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考试类型分正考和补考，正考结束后，不达标的学生将自动进入补考名单。考试主要支持智</w:t>
                  </w:r>
                </w:p>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能自动组卷、防作弊、导出成绩试卷、主观题、编程题、题目乱序等功能。</w:t>
                  </w:r>
                </w:p>
              </w:tc>
            </w:tr>
            <w:tr>
              <w:tblPrEx>
                <w:tblLayout w:type="fixed"/>
                <w:tblCellMar>
                  <w:top w:w="0" w:type="dxa"/>
                  <w:left w:w="108" w:type="dxa"/>
                  <w:bottom w:w="0" w:type="dxa"/>
                  <w:right w:w="108" w:type="dxa"/>
                </w:tblCellMar>
              </w:tblPrEx>
              <w:trPr>
                <w:trHeight w:val="1740" w:hRule="atLeast"/>
                <w:jc w:val="center"/>
              </w:trPr>
              <w:tc>
                <w:tcPr>
                  <w:tcW w:w="704" w:type="dxa"/>
                  <w:tcBorders>
                    <w:top w:val="nil"/>
                    <w:left w:val="single" w:color="auto" w:sz="4" w:space="0"/>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ascii="宋体" w:hAnsi="宋体" w:eastAsia="宋体" w:cs="宋体"/>
                      <w:color w:val="000000"/>
                      <w:kern w:val="0"/>
                      <w:szCs w:val="21"/>
                    </w:rPr>
                    <w:t>7</w:t>
                  </w:r>
                </w:p>
              </w:tc>
              <w:tc>
                <w:tcPr>
                  <w:tcW w:w="587" w:type="dxa"/>
                  <w:tcBorders>
                    <w:top w:val="nil"/>
                    <w:left w:val="nil"/>
                    <w:bottom w:val="single" w:color="auto" w:sz="4" w:space="0"/>
                    <w:right w:val="single" w:color="auto" w:sz="4" w:space="0"/>
                  </w:tcBorders>
                  <w:shd w:val="clear" w:color="auto" w:fill="auto"/>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试题数量</w:t>
                  </w:r>
                </w:p>
              </w:tc>
              <w:tc>
                <w:tcPr>
                  <w:tcW w:w="151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包括单选题、多选题、判断题。试题具有很易、较易、中等、较难、很难</w:t>
                  </w:r>
                  <w:r>
                    <w:rPr>
                      <w:rFonts w:ascii="宋体" w:hAnsi="宋体" w:eastAsia="宋体" w:cs="Calibri"/>
                      <w:color w:val="000000"/>
                      <w:kern w:val="0"/>
                      <w:szCs w:val="21"/>
                    </w:rPr>
                    <w:t>5</w:t>
                  </w:r>
                  <w:r>
                    <w:rPr>
                      <w:rFonts w:hint="eastAsia" w:ascii="宋体" w:hAnsi="宋体" w:eastAsia="宋体" w:cs="宋体"/>
                      <w:color w:val="000000"/>
                      <w:kern w:val="0"/>
                      <w:szCs w:val="21"/>
                    </w:rPr>
                    <w:t>种难度，共包括</w:t>
                  </w:r>
                  <w:r>
                    <w:rPr>
                      <w:rFonts w:hint="eastAsia" w:ascii="宋体" w:hAnsi="宋体" w:eastAsia="宋体" w:cs="Calibri"/>
                      <w:color w:val="000000"/>
                      <w:kern w:val="0"/>
                      <w:szCs w:val="21"/>
                    </w:rPr>
                    <w:t>5</w:t>
                  </w:r>
                  <w:r>
                    <w:rPr>
                      <w:rFonts w:ascii="宋体" w:hAnsi="宋体" w:eastAsia="宋体" w:cs="Calibri"/>
                      <w:color w:val="000000"/>
                      <w:kern w:val="0"/>
                      <w:szCs w:val="21"/>
                    </w:rPr>
                    <w:t>00</w:t>
                  </w:r>
                  <w:r>
                    <w:rPr>
                      <w:rFonts w:hint="eastAsia" w:ascii="宋体" w:hAnsi="宋体" w:eastAsia="宋体" w:cs="宋体"/>
                      <w:color w:val="000000"/>
                      <w:kern w:val="0"/>
                      <w:szCs w:val="21"/>
                    </w:rPr>
                    <w:t>多道试题。</w:t>
                  </w:r>
                </w:p>
              </w:tc>
              <w:tc>
                <w:tcPr>
                  <w:tcW w:w="2025"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提供</w:t>
                  </w:r>
                  <w:r>
                    <w:rPr>
                      <w:rFonts w:ascii="宋体" w:hAnsi="宋体" w:eastAsia="宋体" w:cs="Calibri"/>
                      <w:color w:val="000000"/>
                      <w:kern w:val="0"/>
                      <w:szCs w:val="21"/>
                    </w:rPr>
                    <w:t>200</w:t>
                  </w:r>
                  <w:r>
                    <w:rPr>
                      <w:rFonts w:hint="eastAsia" w:ascii="宋体" w:hAnsi="宋体" w:eastAsia="宋体" w:cs="宋体"/>
                      <w:color w:val="000000"/>
                      <w:kern w:val="0"/>
                      <w:szCs w:val="21"/>
                    </w:rPr>
                    <w:t>道理论试题，题目类型包括单选题、多选题、判断题、填空题。</w:t>
                  </w:r>
                </w:p>
              </w:tc>
              <w:tc>
                <w:tcPr>
                  <w:tcW w:w="1882" w:type="dxa"/>
                  <w:tcBorders>
                    <w:top w:val="nil"/>
                    <w:left w:val="nil"/>
                    <w:bottom w:val="single" w:color="auto" w:sz="4" w:space="0"/>
                    <w:right w:val="single" w:color="auto" w:sz="4" w:space="0"/>
                  </w:tcBorders>
                  <w:shd w:val="clear" w:color="auto" w:fill="auto"/>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单选、多选、判断、填空、简答题。题目数量：</w:t>
                  </w:r>
                  <w:r>
                    <w:rPr>
                      <w:rFonts w:ascii="宋体" w:hAnsi="宋体" w:eastAsia="宋体" w:cs="宋体"/>
                      <w:color w:val="000000"/>
                      <w:kern w:val="0"/>
                      <w:szCs w:val="21"/>
                    </w:rPr>
                    <w:t>400</w:t>
                  </w:r>
                  <w:r>
                    <w:rPr>
                      <w:rFonts w:hint="eastAsia" w:ascii="宋体" w:hAnsi="宋体" w:eastAsia="宋体" w:cs="宋体"/>
                      <w:color w:val="000000"/>
                      <w:kern w:val="0"/>
                      <w:szCs w:val="21"/>
                    </w:rPr>
                    <w:t>多。</w:t>
                  </w:r>
                </w:p>
              </w:tc>
              <w:tc>
                <w:tcPr>
                  <w:tcW w:w="1994" w:type="dxa"/>
                  <w:gridSpan w:val="2"/>
                  <w:tcBorders>
                    <w:top w:val="nil"/>
                    <w:left w:val="nil"/>
                    <w:bottom w:val="single" w:color="auto" w:sz="4" w:space="0"/>
                    <w:right w:val="single" w:color="auto" w:sz="4" w:space="0"/>
                  </w:tcBorders>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可提供不同难度的单选、多选、判断、填空、简答题。题目数量：350多。</w:t>
                  </w:r>
                </w:p>
              </w:tc>
            </w:tr>
            <w:tr>
              <w:tblPrEx>
                <w:tblLayout w:type="fixed"/>
                <w:tblCellMar>
                  <w:top w:w="0" w:type="dxa"/>
                  <w:left w:w="108" w:type="dxa"/>
                  <w:bottom w:w="0" w:type="dxa"/>
                  <w:right w:w="108" w:type="dxa"/>
                </w:tblCellMar>
              </w:tblPrEx>
              <w:trPr>
                <w:trHeight w:val="280" w:hRule="atLeast"/>
                <w:jc w:val="center"/>
              </w:trPr>
              <w:tc>
                <w:tcPr>
                  <w:tcW w:w="704" w:type="dxa"/>
                  <w:tcBorders>
                    <w:top w:val="nil"/>
                    <w:left w:val="single" w:color="auto" w:sz="4" w:space="0"/>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ascii="宋体" w:hAnsi="宋体" w:eastAsia="宋体" w:cs="宋体"/>
                      <w:color w:val="000000"/>
                      <w:kern w:val="0"/>
                      <w:szCs w:val="21"/>
                    </w:rPr>
                    <w:t>8</w:t>
                  </w:r>
                </w:p>
              </w:tc>
              <w:tc>
                <w:tcPr>
                  <w:tcW w:w="587" w:type="dxa"/>
                  <w:tcBorders>
                    <w:top w:val="nil"/>
                    <w:left w:val="nil"/>
                    <w:bottom w:val="single" w:color="auto" w:sz="4" w:space="0"/>
                    <w:right w:val="single" w:color="auto" w:sz="4" w:space="0"/>
                  </w:tcBorders>
                  <w:shd w:val="clear" w:color="auto" w:fill="auto"/>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实验断电保存</w:t>
                  </w:r>
                </w:p>
              </w:tc>
              <w:tc>
                <w:tcPr>
                  <w:tcW w:w="151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支持</w:t>
                  </w:r>
                </w:p>
              </w:tc>
              <w:tc>
                <w:tcPr>
                  <w:tcW w:w="2025"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支持</w:t>
                  </w:r>
                </w:p>
              </w:tc>
              <w:tc>
                <w:tcPr>
                  <w:tcW w:w="188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支持</w:t>
                  </w:r>
                </w:p>
              </w:tc>
              <w:tc>
                <w:tcPr>
                  <w:tcW w:w="1994" w:type="dxa"/>
                  <w:gridSpan w:val="2"/>
                  <w:tcBorders>
                    <w:top w:val="nil"/>
                    <w:left w:val="nil"/>
                    <w:bottom w:val="single" w:color="auto" w:sz="4" w:space="0"/>
                    <w:right w:val="single" w:color="auto" w:sz="4" w:space="0"/>
                  </w:tcBorders>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支持</w:t>
                  </w:r>
                </w:p>
              </w:tc>
            </w:tr>
            <w:tr>
              <w:tblPrEx>
                <w:tblLayout w:type="fixed"/>
                <w:tblCellMar>
                  <w:top w:w="0" w:type="dxa"/>
                  <w:left w:w="108" w:type="dxa"/>
                  <w:bottom w:w="0" w:type="dxa"/>
                  <w:right w:w="108" w:type="dxa"/>
                </w:tblCellMar>
              </w:tblPrEx>
              <w:trPr>
                <w:trHeight w:val="280" w:hRule="atLeast"/>
                <w:jc w:val="center"/>
              </w:trPr>
              <w:tc>
                <w:tcPr>
                  <w:tcW w:w="704" w:type="dxa"/>
                  <w:tcBorders>
                    <w:top w:val="nil"/>
                    <w:left w:val="single" w:color="auto" w:sz="4" w:space="0"/>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9</w:t>
                  </w:r>
                </w:p>
              </w:tc>
              <w:tc>
                <w:tcPr>
                  <w:tcW w:w="587" w:type="dxa"/>
                  <w:tcBorders>
                    <w:top w:val="nil"/>
                    <w:left w:val="nil"/>
                    <w:bottom w:val="single" w:color="auto" w:sz="4" w:space="0"/>
                    <w:right w:val="single" w:color="auto" w:sz="4" w:space="0"/>
                  </w:tcBorders>
                  <w:shd w:val="clear" w:color="auto" w:fill="auto"/>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教学远程协助</w:t>
                  </w:r>
                </w:p>
              </w:tc>
              <w:tc>
                <w:tcPr>
                  <w:tcW w:w="1510"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支持</w:t>
                  </w:r>
                </w:p>
              </w:tc>
              <w:tc>
                <w:tcPr>
                  <w:tcW w:w="2025"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不支持</w:t>
                  </w:r>
                </w:p>
              </w:tc>
              <w:tc>
                <w:tcPr>
                  <w:tcW w:w="1882" w:type="dxa"/>
                  <w:tcBorders>
                    <w:top w:val="nil"/>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支持</w:t>
                  </w:r>
                </w:p>
              </w:tc>
              <w:tc>
                <w:tcPr>
                  <w:tcW w:w="1994" w:type="dxa"/>
                  <w:gridSpan w:val="2"/>
                  <w:tcBorders>
                    <w:top w:val="nil"/>
                    <w:left w:val="nil"/>
                    <w:bottom w:val="single" w:color="auto" w:sz="4" w:space="0"/>
                    <w:right w:val="single" w:color="auto" w:sz="4" w:space="0"/>
                  </w:tcBorders>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支持</w:t>
                  </w:r>
                </w:p>
              </w:tc>
            </w:tr>
            <w:tr>
              <w:tblPrEx>
                <w:tblLayout w:type="fixed"/>
                <w:tblCellMar>
                  <w:top w:w="0" w:type="dxa"/>
                  <w:left w:w="108" w:type="dxa"/>
                  <w:bottom w:w="0" w:type="dxa"/>
                  <w:right w:w="108" w:type="dxa"/>
                </w:tblCellMar>
              </w:tblPrEx>
              <w:trPr>
                <w:trHeight w:val="280"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10</w:t>
                  </w:r>
                </w:p>
              </w:tc>
              <w:tc>
                <w:tcPr>
                  <w:tcW w:w="587" w:type="dxa"/>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质保期</w:t>
                  </w:r>
                </w:p>
              </w:tc>
              <w:tc>
                <w:tcPr>
                  <w:tcW w:w="1510"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3年</w:t>
                  </w:r>
                </w:p>
              </w:tc>
              <w:tc>
                <w:tcPr>
                  <w:tcW w:w="2025"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3年</w:t>
                  </w:r>
                </w:p>
              </w:tc>
              <w:tc>
                <w:tcPr>
                  <w:tcW w:w="1882" w:type="dxa"/>
                  <w:tcBorders>
                    <w:top w:val="single" w:color="auto" w:sz="4" w:space="0"/>
                    <w:left w:val="nil"/>
                    <w:bottom w:val="single" w:color="auto" w:sz="4" w:space="0"/>
                    <w:right w:val="single" w:color="auto" w:sz="4" w:space="0"/>
                  </w:tcBorders>
                  <w:shd w:val="clear" w:color="auto" w:fill="auto"/>
                  <w:noWrap/>
                  <w:vAlign w:val="center"/>
                </w:tcPr>
                <w:p>
                  <w:pPr>
                    <w:widowControl/>
                    <w:spacing w:line="276" w:lineRule="auto"/>
                    <w:jc w:val="center"/>
                    <w:rPr>
                      <w:rFonts w:ascii="宋体" w:hAnsi="宋体" w:eastAsia="宋体" w:cs="宋体"/>
                      <w:color w:val="000000"/>
                      <w:kern w:val="0"/>
                      <w:szCs w:val="21"/>
                    </w:rPr>
                  </w:pPr>
                  <w:r>
                    <w:rPr>
                      <w:rFonts w:hint="eastAsia" w:ascii="宋体" w:hAnsi="宋体" w:eastAsia="宋体" w:cs="宋体"/>
                      <w:color w:val="000000"/>
                      <w:kern w:val="0"/>
                      <w:szCs w:val="21"/>
                    </w:rPr>
                    <w:t>3年</w:t>
                  </w:r>
                </w:p>
              </w:tc>
              <w:tc>
                <w:tcPr>
                  <w:tcW w:w="1994" w:type="dxa"/>
                  <w:gridSpan w:val="2"/>
                  <w:tcBorders>
                    <w:top w:val="single" w:color="auto" w:sz="4" w:space="0"/>
                    <w:left w:val="nil"/>
                    <w:bottom w:val="single" w:color="auto" w:sz="4" w:space="0"/>
                    <w:right w:val="single" w:color="auto" w:sz="4" w:space="0"/>
                  </w:tcBorders>
                  <w:vAlign w:val="center"/>
                </w:tcPr>
                <w:p>
                  <w:pPr>
                    <w:widowControl/>
                    <w:spacing w:line="276" w:lineRule="auto"/>
                    <w:jc w:val="center"/>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年</w:t>
                  </w:r>
                </w:p>
              </w:tc>
            </w:tr>
          </w:tbl>
          <w:p>
            <w:pPr>
              <w:autoSpaceDE w:val="0"/>
              <w:autoSpaceDN w:val="0"/>
              <w:ind w:right="149" w:rightChars="71"/>
              <w:jc w:val="left"/>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850" w:type="dxa"/>
            <w:vMerge w:val="restart"/>
            <w:vAlign w:val="center"/>
          </w:tcPr>
          <w:p>
            <w:pPr>
              <w:spacing w:line="360" w:lineRule="exact"/>
              <w:jc w:val="center"/>
              <w:rPr>
                <w:rFonts w:ascii="宋体" w:hAnsi="宋体"/>
                <w:bCs/>
                <w:spacing w:val="16"/>
                <w:sz w:val="28"/>
                <w:szCs w:val="28"/>
              </w:rPr>
            </w:pPr>
            <w:r>
              <w:rPr>
                <w:rFonts w:hint="eastAsia" w:ascii="宋体" w:hAnsi="宋体"/>
                <w:bCs/>
                <w:spacing w:val="16"/>
                <w:sz w:val="28"/>
                <w:szCs w:val="28"/>
              </w:rPr>
              <w:t>预</w:t>
            </w:r>
          </w:p>
          <w:p>
            <w:pPr>
              <w:spacing w:line="360" w:lineRule="exact"/>
              <w:jc w:val="center"/>
              <w:rPr>
                <w:rFonts w:ascii="宋体" w:hAnsi="宋体"/>
                <w:bCs/>
                <w:spacing w:val="16"/>
                <w:sz w:val="28"/>
                <w:szCs w:val="28"/>
              </w:rPr>
            </w:pPr>
            <w:r>
              <w:rPr>
                <w:rFonts w:hint="eastAsia" w:ascii="宋体" w:hAnsi="宋体"/>
                <w:bCs/>
                <w:spacing w:val="16"/>
                <w:sz w:val="28"/>
                <w:szCs w:val="28"/>
              </w:rPr>
              <w:t>期</w:t>
            </w:r>
          </w:p>
          <w:p>
            <w:pPr>
              <w:spacing w:line="360" w:lineRule="exact"/>
              <w:jc w:val="center"/>
              <w:rPr>
                <w:rFonts w:ascii="宋体" w:hAnsi="宋体"/>
                <w:bCs/>
                <w:spacing w:val="16"/>
                <w:sz w:val="28"/>
                <w:szCs w:val="28"/>
              </w:rPr>
            </w:pPr>
            <w:r>
              <w:rPr>
                <w:rFonts w:hint="eastAsia" w:ascii="宋体" w:hAnsi="宋体"/>
                <w:bCs/>
                <w:spacing w:val="16"/>
                <w:sz w:val="28"/>
                <w:szCs w:val="28"/>
              </w:rPr>
              <w:t>使</w:t>
            </w:r>
          </w:p>
          <w:p>
            <w:pPr>
              <w:spacing w:line="360" w:lineRule="exact"/>
              <w:jc w:val="center"/>
              <w:rPr>
                <w:rFonts w:ascii="宋体" w:hAnsi="宋体"/>
                <w:bCs/>
                <w:spacing w:val="16"/>
                <w:sz w:val="28"/>
                <w:szCs w:val="28"/>
              </w:rPr>
            </w:pPr>
            <w:r>
              <w:rPr>
                <w:rFonts w:hint="eastAsia" w:ascii="宋体" w:hAnsi="宋体"/>
                <w:bCs/>
                <w:spacing w:val="16"/>
                <w:sz w:val="28"/>
                <w:szCs w:val="28"/>
              </w:rPr>
              <w:t>用</w:t>
            </w:r>
          </w:p>
          <w:p>
            <w:pPr>
              <w:spacing w:line="360" w:lineRule="exact"/>
              <w:jc w:val="center"/>
              <w:rPr>
                <w:rFonts w:ascii="宋体" w:hAnsi="宋体"/>
                <w:bCs/>
                <w:spacing w:val="16"/>
                <w:sz w:val="28"/>
                <w:szCs w:val="28"/>
              </w:rPr>
            </w:pPr>
            <w:r>
              <w:rPr>
                <w:rFonts w:hint="eastAsia" w:ascii="宋体" w:hAnsi="宋体"/>
                <w:bCs/>
                <w:spacing w:val="16"/>
                <w:sz w:val="28"/>
                <w:szCs w:val="28"/>
              </w:rPr>
              <w:t>效</w:t>
            </w:r>
          </w:p>
          <w:p>
            <w:pPr>
              <w:spacing w:line="360" w:lineRule="exact"/>
              <w:jc w:val="center"/>
              <w:rPr>
                <w:rFonts w:ascii="宋体" w:hAnsi="宋体"/>
                <w:bCs/>
                <w:color w:val="000000"/>
                <w:sz w:val="24"/>
              </w:rPr>
            </w:pPr>
            <w:r>
              <w:rPr>
                <w:rFonts w:hint="eastAsia" w:ascii="宋体" w:hAnsi="宋体"/>
                <w:bCs/>
                <w:spacing w:val="16"/>
                <w:sz w:val="28"/>
                <w:szCs w:val="28"/>
              </w:rPr>
              <w:t>益</w:t>
            </w:r>
          </w:p>
        </w:tc>
        <w:tc>
          <w:tcPr>
            <w:tcW w:w="8829" w:type="dxa"/>
            <w:gridSpan w:val="13"/>
            <w:vAlign w:val="center"/>
          </w:tcPr>
          <w:p>
            <w:pPr>
              <w:spacing w:line="360" w:lineRule="exact"/>
              <w:ind w:left="120"/>
              <w:rPr>
                <w:rFonts w:ascii="宋体" w:hAnsi="宋体"/>
                <w:b/>
                <w:bCs/>
                <w:color w:val="000000"/>
                <w:szCs w:val="21"/>
              </w:rPr>
            </w:pPr>
            <w:r>
              <w:rPr>
                <w:rFonts w:hint="eastAsia" w:ascii="宋体" w:hAnsi="宋体"/>
                <w:bCs/>
                <w:szCs w:val="21"/>
              </w:rPr>
              <w:t xml:space="preserve">预期年有效使用机时:  </w:t>
            </w:r>
            <w:r>
              <w:rPr>
                <w:rFonts w:ascii="宋体" w:hAnsi="宋体"/>
                <w:bCs/>
                <w:szCs w:val="21"/>
                <w:u w:val="single"/>
              </w:rPr>
              <w:t xml:space="preserve"> </w:t>
            </w:r>
            <w:r>
              <w:rPr>
                <w:rFonts w:hint="eastAsia" w:ascii="宋体" w:hAnsi="宋体"/>
                <w:bCs/>
                <w:szCs w:val="21"/>
                <w:u w:val="single"/>
              </w:rPr>
              <w:t xml:space="preserve"> 2000  </w:t>
            </w:r>
            <w:r>
              <w:rPr>
                <w:rFonts w:hint="eastAsia" w:ascii="宋体" w:hAnsi="宋体"/>
                <w:bCs/>
                <w:szCs w:val="21"/>
              </w:rPr>
              <w:t>小时/年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850" w:type="dxa"/>
            <w:vMerge w:val="continue"/>
          </w:tcPr>
          <w:p>
            <w:pPr>
              <w:spacing w:line="360" w:lineRule="exact"/>
              <w:ind w:left="120"/>
              <w:rPr>
                <w:rFonts w:ascii="宋体" w:hAnsi="宋体"/>
                <w:b/>
                <w:bCs/>
                <w:color w:val="000000"/>
                <w:szCs w:val="28"/>
              </w:rPr>
            </w:pPr>
          </w:p>
        </w:tc>
        <w:tc>
          <w:tcPr>
            <w:tcW w:w="8829" w:type="dxa"/>
            <w:gridSpan w:val="13"/>
          </w:tcPr>
          <w:p>
            <w:pPr>
              <w:tabs>
                <w:tab w:val="left" w:pos="600"/>
              </w:tabs>
              <w:spacing w:line="400" w:lineRule="exact"/>
              <w:ind w:left="601" w:hanging="482"/>
              <w:rPr>
                <w:rFonts w:ascii="Calibri" w:hAnsi="Calibri"/>
                <w:bCs/>
                <w:szCs w:val="21"/>
              </w:rPr>
            </w:pPr>
            <w:r>
              <w:rPr>
                <w:rFonts w:hint="eastAsia" w:ascii="Calibri" w:hAnsi="Calibri"/>
                <w:bCs/>
                <w:szCs w:val="21"/>
              </w:rPr>
              <w:t>该</w:t>
            </w:r>
            <w:r>
              <w:rPr>
                <w:rFonts w:ascii="Calibri" w:hAnsi="Calibri"/>
                <w:bCs/>
                <w:szCs w:val="21"/>
              </w:rPr>
              <w:t>大仪在教学、科研、校内外服务的预期</w:t>
            </w:r>
            <w:r>
              <w:rPr>
                <w:rFonts w:hint="eastAsia" w:ascii="Calibri" w:hAnsi="Calibri"/>
                <w:bCs/>
                <w:szCs w:val="21"/>
              </w:rPr>
              <w:t>使用</w:t>
            </w:r>
            <w:r>
              <w:rPr>
                <w:rFonts w:ascii="Calibri" w:hAnsi="Calibri"/>
                <w:bCs/>
                <w:szCs w:val="21"/>
              </w:rPr>
              <w:t>效益</w:t>
            </w:r>
            <w:r>
              <w:rPr>
                <w:rFonts w:hint="eastAsia" w:ascii="Calibri" w:hAnsi="Calibri"/>
                <w:bCs/>
                <w:szCs w:val="21"/>
              </w:rPr>
              <w:t>：</w:t>
            </w:r>
          </w:p>
          <w:p>
            <w:pPr>
              <w:ind w:firstLine="360" w:firstLineChars="200"/>
              <w:rPr>
                <w:rFonts w:ascii="宋体" w:hAnsi="宋体" w:cs="宋体"/>
                <w:b/>
                <w:bCs/>
                <w:sz w:val="18"/>
                <w:szCs w:val="18"/>
              </w:rPr>
            </w:pPr>
            <w:r>
              <w:rPr>
                <w:rFonts w:hint="eastAsia" w:ascii="宋体" w:hAnsi="宋体" w:cs="宋体"/>
                <w:b/>
                <w:bCs/>
                <w:sz w:val="18"/>
                <w:szCs w:val="18"/>
              </w:rPr>
              <w:t>1、项目建设预期</w:t>
            </w:r>
          </w:p>
          <w:p>
            <w:pPr>
              <w:ind w:firstLine="360" w:firstLineChars="200"/>
              <w:rPr>
                <w:rFonts w:ascii="宋体" w:hAnsi="宋体" w:cs="宋体"/>
                <w:sz w:val="18"/>
                <w:szCs w:val="18"/>
              </w:rPr>
            </w:pPr>
            <w:r>
              <w:rPr>
                <w:rFonts w:hint="eastAsia" w:ascii="宋体" w:hAnsi="宋体" w:cs="宋体"/>
                <w:sz w:val="18"/>
                <w:szCs w:val="18"/>
              </w:rPr>
              <w:t>该项目的预算，考虑到实验室平台不仅要满足正常的教学，而且应该体现一定的先进性、专业性、可靠性，特别是要体现实验案例多样性和数据集的真实性，让实验实训效果更加接近生产实际，实现学生毕业后能够直接适应生产条件，提高学生就业的竞争力。项目也考虑了到教研管理系统的方便性，提高实验室使用的吞吐量和可扩展性，满足长远发展的需求。实验教学内容采用的框架体现了行业通用的原则，不落入个别品牌专用框架的狭隘技术，让学生毕业以后，可以有更多的就业选择。基于Python或R语言的通用和开源类库和方法，已经得到了全球业内长久广泛的应用，是项目可靠的基本保障，在较长时期内是可持续的。</w:t>
            </w:r>
          </w:p>
          <w:p>
            <w:pPr>
              <w:ind w:firstLine="360" w:firstLineChars="200"/>
              <w:rPr>
                <w:rFonts w:ascii="宋体" w:hAnsi="宋体" w:cs="宋体"/>
                <w:b/>
                <w:bCs/>
                <w:sz w:val="18"/>
                <w:szCs w:val="18"/>
              </w:rPr>
            </w:pPr>
            <w:r>
              <w:rPr>
                <w:rFonts w:ascii="宋体" w:hAnsi="宋体" w:cs="宋体"/>
                <w:b/>
                <w:bCs/>
                <w:sz w:val="18"/>
                <w:szCs w:val="18"/>
              </w:rPr>
              <w:t>2</w:t>
            </w:r>
            <w:r>
              <w:rPr>
                <w:rFonts w:hint="eastAsia" w:ascii="宋体" w:hAnsi="宋体" w:cs="宋体"/>
                <w:b/>
                <w:bCs/>
                <w:sz w:val="18"/>
                <w:szCs w:val="18"/>
              </w:rPr>
              <w:t>、项目预期效益的持久性分析</w:t>
            </w:r>
          </w:p>
          <w:p>
            <w:pPr>
              <w:ind w:firstLine="360" w:firstLineChars="200"/>
              <w:rPr>
                <w:rFonts w:ascii="宋体" w:hAnsi="宋体" w:cs="宋体"/>
                <w:sz w:val="18"/>
                <w:szCs w:val="18"/>
              </w:rPr>
            </w:pPr>
            <w:r>
              <w:rPr>
                <w:rFonts w:hint="eastAsia" w:ascii="宋体" w:hAnsi="宋体" w:cs="宋体"/>
                <w:sz w:val="18"/>
                <w:szCs w:val="18"/>
              </w:rPr>
              <w:t>目前，人工智能人才供需关系，是以需求拉动为导向的，人才需求强烈，薪酬明显高于传统人才，各种预测都一致看好，其根本原因是，社会数据总量不断累积，数据规模加速增长已经成为总体趋势，大数据作为资产的性质日益明显，以大数据为依托的人工智能的发展日新月异，人工智能人才具有公认的持久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0" w:type="dxa"/>
            <w:vMerge w:val="restart"/>
            <w:vAlign w:val="center"/>
          </w:tcPr>
          <w:p>
            <w:pPr>
              <w:spacing w:line="360" w:lineRule="exact"/>
              <w:jc w:val="center"/>
              <w:rPr>
                <w:rFonts w:ascii="宋体" w:hAnsi="宋体"/>
                <w:bCs/>
                <w:spacing w:val="16"/>
                <w:sz w:val="28"/>
                <w:szCs w:val="28"/>
              </w:rPr>
            </w:pPr>
            <w:r>
              <w:rPr>
                <w:rFonts w:hint="eastAsia" w:ascii="宋体" w:hAnsi="宋体"/>
                <w:bCs/>
                <w:spacing w:val="16"/>
                <w:sz w:val="28"/>
                <w:szCs w:val="28"/>
              </w:rPr>
              <w:t>人</w:t>
            </w:r>
          </w:p>
          <w:p>
            <w:pPr>
              <w:spacing w:line="360" w:lineRule="exact"/>
              <w:jc w:val="center"/>
              <w:rPr>
                <w:rFonts w:ascii="宋体" w:hAnsi="宋体"/>
                <w:bCs/>
                <w:spacing w:val="16"/>
                <w:sz w:val="28"/>
                <w:szCs w:val="28"/>
              </w:rPr>
            </w:pPr>
            <w:r>
              <w:rPr>
                <w:rFonts w:hint="eastAsia" w:ascii="宋体" w:hAnsi="宋体"/>
                <w:bCs/>
                <w:spacing w:val="16"/>
                <w:sz w:val="28"/>
                <w:szCs w:val="28"/>
              </w:rPr>
              <w:t>员</w:t>
            </w:r>
          </w:p>
          <w:p>
            <w:pPr>
              <w:spacing w:line="360" w:lineRule="exact"/>
              <w:jc w:val="center"/>
              <w:rPr>
                <w:rFonts w:ascii="宋体" w:hAnsi="宋体"/>
                <w:bCs/>
                <w:spacing w:val="16"/>
                <w:sz w:val="28"/>
                <w:szCs w:val="28"/>
              </w:rPr>
            </w:pPr>
            <w:r>
              <w:rPr>
                <w:rFonts w:hint="eastAsia" w:ascii="宋体" w:hAnsi="宋体"/>
                <w:bCs/>
                <w:spacing w:val="16"/>
                <w:sz w:val="28"/>
                <w:szCs w:val="28"/>
              </w:rPr>
              <w:t>安</w:t>
            </w:r>
          </w:p>
          <w:p>
            <w:pPr>
              <w:spacing w:line="360" w:lineRule="exact"/>
              <w:jc w:val="center"/>
              <w:rPr>
                <w:rFonts w:ascii="宋体" w:hAnsi="宋体"/>
                <w:bCs/>
                <w:spacing w:val="16"/>
                <w:sz w:val="28"/>
                <w:szCs w:val="28"/>
              </w:rPr>
            </w:pPr>
            <w:r>
              <w:rPr>
                <w:rFonts w:hint="eastAsia" w:ascii="宋体" w:hAnsi="宋体"/>
                <w:bCs/>
                <w:spacing w:val="16"/>
                <w:sz w:val="28"/>
                <w:szCs w:val="28"/>
              </w:rPr>
              <w:t>排</w:t>
            </w:r>
          </w:p>
          <w:p>
            <w:pPr>
              <w:spacing w:line="360" w:lineRule="exact"/>
              <w:jc w:val="center"/>
              <w:rPr>
                <w:rFonts w:ascii="宋体" w:hAnsi="宋体"/>
                <w:bCs/>
                <w:spacing w:val="16"/>
                <w:sz w:val="28"/>
                <w:szCs w:val="28"/>
              </w:rPr>
            </w:pPr>
            <w:r>
              <w:rPr>
                <w:rFonts w:hint="eastAsia" w:ascii="宋体" w:hAnsi="宋体"/>
                <w:bCs/>
                <w:spacing w:val="16"/>
                <w:sz w:val="28"/>
                <w:szCs w:val="28"/>
              </w:rPr>
              <w:t>及</w:t>
            </w:r>
          </w:p>
          <w:p>
            <w:pPr>
              <w:spacing w:line="360" w:lineRule="exact"/>
              <w:jc w:val="center"/>
              <w:rPr>
                <w:rFonts w:ascii="宋体" w:hAnsi="宋体"/>
                <w:bCs/>
                <w:spacing w:val="16"/>
                <w:sz w:val="28"/>
                <w:szCs w:val="28"/>
              </w:rPr>
            </w:pPr>
            <w:r>
              <w:rPr>
                <w:rFonts w:hint="eastAsia" w:ascii="宋体" w:hAnsi="宋体"/>
                <w:bCs/>
                <w:spacing w:val="16"/>
                <w:sz w:val="28"/>
                <w:szCs w:val="28"/>
              </w:rPr>
              <w:t>仪</w:t>
            </w:r>
          </w:p>
          <w:p>
            <w:pPr>
              <w:spacing w:line="360" w:lineRule="exact"/>
              <w:jc w:val="center"/>
              <w:rPr>
                <w:rFonts w:ascii="宋体" w:hAnsi="宋体"/>
                <w:bCs/>
                <w:spacing w:val="16"/>
                <w:sz w:val="28"/>
                <w:szCs w:val="28"/>
              </w:rPr>
            </w:pPr>
            <w:r>
              <w:rPr>
                <w:rFonts w:hint="eastAsia" w:ascii="宋体" w:hAnsi="宋体"/>
                <w:bCs/>
                <w:spacing w:val="16"/>
                <w:sz w:val="28"/>
                <w:szCs w:val="28"/>
              </w:rPr>
              <w:t>器</w:t>
            </w:r>
          </w:p>
          <w:p>
            <w:pPr>
              <w:spacing w:line="360" w:lineRule="exact"/>
              <w:jc w:val="center"/>
              <w:rPr>
                <w:rFonts w:ascii="宋体" w:hAnsi="宋体"/>
                <w:bCs/>
                <w:spacing w:val="16"/>
                <w:sz w:val="28"/>
                <w:szCs w:val="28"/>
              </w:rPr>
            </w:pPr>
            <w:r>
              <w:rPr>
                <w:rFonts w:hint="eastAsia" w:ascii="宋体" w:hAnsi="宋体"/>
                <w:bCs/>
                <w:spacing w:val="16"/>
                <w:sz w:val="28"/>
                <w:szCs w:val="28"/>
              </w:rPr>
              <w:t>安</w:t>
            </w:r>
          </w:p>
          <w:p>
            <w:pPr>
              <w:spacing w:line="360" w:lineRule="exact"/>
              <w:jc w:val="center"/>
              <w:rPr>
                <w:rFonts w:ascii="宋体" w:hAnsi="宋体"/>
                <w:bCs/>
                <w:spacing w:val="16"/>
                <w:sz w:val="28"/>
                <w:szCs w:val="28"/>
              </w:rPr>
            </w:pPr>
            <w:r>
              <w:rPr>
                <w:rFonts w:hint="eastAsia" w:ascii="宋体" w:hAnsi="宋体"/>
                <w:bCs/>
                <w:spacing w:val="16"/>
                <w:sz w:val="28"/>
                <w:szCs w:val="28"/>
              </w:rPr>
              <w:t>装</w:t>
            </w:r>
          </w:p>
          <w:p>
            <w:pPr>
              <w:spacing w:line="360" w:lineRule="exact"/>
              <w:jc w:val="center"/>
              <w:rPr>
                <w:rFonts w:ascii="宋体" w:hAnsi="宋体"/>
                <w:bCs/>
                <w:spacing w:val="16"/>
                <w:sz w:val="28"/>
                <w:szCs w:val="28"/>
              </w:rPr>
            </w:pPr>
            <w:r>
              <w:rPr>
                <w:rFonts w:hint="eastAsia" w:ascii="宋体" w:hAnsi="宋体"/>
                <w:bCs/>
                <w:spacing w:val="16"/>
                <w:sz w:val="28"/>
                <w:szCs w:val="28"/>
              </w:rPr>
              <w:t>条</w:t>
            </w:r>
          </w:p>
          <w:p>
            <w:pPr>
              <w:spacing w:line="360" w:lineRule="exact"/>
              <w:jc w:val="center"/>
              <w:rPr>
                <w:rFonts w:ascii="宋体" w:hAnsi="宋体"/>
                <w:bCs/>
                <w:spacing w:val="10"/>
                <w:sz w:val="24"/>
              </w:rPr>
            </w:pPr>
            <w:r>
              <w:rPr>
                <w:rFonts w:hint="eastAsia" w:ascii="宋体" w:hAnsi="宋体"/>
                <w:bCs/>
                <w:spacing w:val="16"/>
                <w:sz w:val="28"/>
                <w:szCs w:val="28"/>
              </w:rPr>
              <w:t>件</w:t>
            </w:r>
          </w:p>
        </w:tc>
        <w:tc>
          <w:tcPr>
            <w:tcW w:w="8829" w:type="dxa"/>
            <w:gridSpan w:val="13"/>
          </w:tcPr>
          <w:p>
            <w:pPr>
              <w:spacing w:line="400" w:lineRule="exact"/>
              <w:rPr>
                <w:rFonts w:ascii="宋体" w:hAnsi="宋体"/>
                <w:bCs/>
                <w:szCs w:val="21"/>
              </w:rPr>
            </w:pPr>
            <w:r>
              <w:rPr>
                <w:rFonts w:hint="eastAsia" w:ascii="宋体" w:hAnsi="宋体"/>
                <w:bCs/>
                <w:szCs w:val="21"/>
              </w:rPr>
              <w:t>1.人员安排计划</w:t>
            </w:r>
          </w:p>
          <w:p>
            <w:pPr>
              <w:spacing w:beforeLines="30" w:line="400" w:lineRule="exact"/>
              <w:ind w:left="119"/>
              <w:rPr>
                <w:rFonts w:ascii="仿宋_GB2312" w:eastAsia="仿宋_GB2312"/>
                <w:szCs w:val="21"/>
              </w:rPr>
            </w:pPr>
            <w:r>
              <w:rPr>
                <w:rFonts w:hint="eastAsia" w:ascii="宋体" w:hAnsi="宋体"/>
                <w:szCs w:val="21"/>
              </w:rPr>
              <w:t xml:space="preserve">仪器管理人员: </w:t>
            </w:r>
            <w:r>
              <w:rPr>
                <w:rFonts w:hint="eastAsia" w:ascii="宋体" w:hAnsi="宋体"/>
                <w:szCs w:val="21"/>
                <w:u w:val="single"/>
              </w:rPr>
              <w:t xml:space="preserve"> 张海峰   </w:t>
            </w:r>
            <w:r>
              <w:rPr>
                <w:rFonts w:hint="eastAsia" w:ascii="宋体" w:hAnsi="宋体"/>
                <w:szCs w:val="21"/>
              </w:rPr>
              <w:t xml:space="preserve"> 职称 </w:t>
            </w:r>
            <w:r>
              <w:rPr>
                <w:rFonts w:hint="eastAsia" w:ascii="宋体" w:hAnsi="宋体"/>
                <w:szCs w:val="21"/>
                <w:u w:val="single"/>
              </w:rPr>
              <w:t xml:space="preserve">  高级实验师   </w:t>
            </w:r>
            <w:r>
              <w:rPr>
                <w:rFonts w:hint="eastAsia" w:ascii="宋体" w:hAnsi="宋体"/>
                <w:szCs w:val="21"/>
              </w:rPr>
              <w:t xml:space="preserve"> 电话 </w:t>
            </w:r>
            <w:r>
              <w:rPr>
                <w:rFonts w:hint="eastAsia" w:ascii="宋体" w:hAnsi="宋体"/>
                <w:szCs w:val="21"/>
                <w:u w:val="single"/>
              </w:rPr>
              <w:t xml:space="preserve">13858012835 </w:t>
            </w:r>
            <w:r>
              <w:rPr>
                <w:rFonts w:hint="eastAsia" w:ascii="宋体" w:hAnsi="宋体"/>
                <w:szCs w:val="21"/>
              </w:rPr>
              <w:t xml:space="preserve"> 是否专职</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是</w:t>
            </w:r>
            <w:r>
              <w:rPr>
                <w:rFonts w:ascii="宋体" w:hAnsi="宋体"/>
                <w:szCs w:val="21"/>
                <w:u w:val="single"/>
              </w:rPr>
              <w:t xml:space="preserve">  </w:t>
            </w:r>
            <w:r>
              <w:rPr>
                <w:rFonts w:hint="eastAsia" w:ascii="宋体" w:hAnsi="宋体"/>
                <w:szCs w:val="21"/>
                <w:u w:val="single"/>
              </w:rPr>
              <w:t xml:space="preserve">  </w:t>
            </w:r>
          </w:p>
          <w:p>
            <w:pPr>
              <w:spacing w:beforeLines="20" w:line="400" w:lineRule="exact"/>
              <w:ind w:left="119"/>
              <w:rPr>
                <w:rFonts w:ascii="仿宋_GB2312" w:eastAsia="仿宋_GB2312"/>
                <w:sz w:val="24"/>
              </w:rPr>
            </w:pPr>
            <w:r>
              <w:rPr>
                <w:rFonts w:hint="eastAsia" w:ascii="宋体" w:hAnsi="宋体"/>
                <w:szCs w:val="21"/>
              </w:rPr>
              <w:t xml:space="preserve">仪器操作人员: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 xml:space="preserve"> 职称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 xml:space="preserve"> 电话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 xml:space="preserve"> 是否专职</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0" w:type="dxa"/>
            <w:vMerge w:val="continue"/>
          </w:tcPr>
          <w:p>
            <w:pPr>
              <w:spacing w:line="360" w:lineRule="exact"/>
              <w:ind w:left="120"/>
              <w:rPr>
                <w:rFonts w:ascii="宋体" w:hAnsi="宋体"/>
                <w:b/>
                <w:bCs/>
                <w:szCs w:val="28"/>
              </w:rPr>
            </w:pPr>
          </w:p>
        </w:tc>
        <w:tc>
          <w:tcPr>
            <w:tcW w:w="8829" w:type="dxa"/>
            <w:gridSpan w:val="13"/>
          </w:tcPr>
          <w:p>
            <w:pPr>
              <w:rPr>
                <w:rFonts w:ascii="宋体" w:hAnsi="宋体"/>
                <w:szCs w:val="21"/>
              </w:rPr>
            </w:pPr>
            <w:r>
              <w:rPr>
                <w:rFonts w:hint="eastAsia" w:ascii="宋体" w:hAnsi="宋体"/>
                <w:szCs w:val="21"/>
              </w:rPr>
              <w:t>2.安装条件：</w:t>
            </w:r>
          </w:p>
          <w:p>
            <w:pPr>
              <w:spacing w:beforeLines="20"/>
              <w:ind w:firstLine="420" w:firstLineChars="200"/>
              <w:rPr>
                <w:rFonts w:ascii="宋体" w:hAnsi="宋体"/>
                <w:szCs w:val="21"/>
              </w:rPr>
            </w:pPr>
            <w:r>
              <w:rPr>
                <w:rFonts w:hint="eastAsia" w:ascii="宋体" w:hAnsi="宋体"/>
                <w:szCs w:val="21"/>
              </w:rPr>
              <w:t>①仪器安置地址：</w:t>
            </w:r>
            <w:r>
              <w:rPr>
                <w:rFonts w:ascii="宋体" w:hAnsi="宋体"/>
                <w:szCs w:val="21"/>
                <w:u w:val="single"/>
              </w:rPr>
              <w:t xml:space="preserve"> _</w:t>
            </w:r>
            <w:r>
              <w:rPr>
                <w:rFonts w:hint="eastAsia" w:ascii="宋体" w:hAnsi="宋体"/>
                <w:szCs w:val="21"/>
                <w:u w:val="single"/>
              </w:rPr>
              <w:t xml:space="preserve">       </w:t>
            </w:r>
            <w:r>
              <w:rPr>
                <w:rFonts w:ascii="宋体" w:hAnsi="宋体"/>
                <w:szCs w:val="21"/>
                <w:u w:val="single"/>
              </w:rPr>
              <w:t xml:space="preserve"> _</w:t>
            </w:r>
            <w:r>
              <w:rPr>
                <w:rFonts w:hint="eastAsia" w:ascii="宋体" w:hAnsi="宋体"/>
                <w:szCs w:val="21"/>
              </w:rPr>
              <w:t>楼</w:t>
            </w:r>
            <w:r>
              <w:rPr>
                <w:rFonts w:ascii="宋体" w:hAnsi="宋体"/>
                <w:szCs w:val="21"/>
                <w:u w:val="single"/>
              </w:rPr>
              <w:t>_</w:t>
            </w:r>
            <w:r>
              <w:rPr>
                <w:rFonts w:hint="eastAsia" w:ascii="宋体" w:hAnsi="宋体"/>
                <w:szCs w:val="21"/>
                <w:u w:val="single"/>
              </w:rPr>
              <w:t xml:space="preserve">     </w:t>
            </w:r>
            <w:r>
              <w:rPr>
                <w:rFonts w:ascii="宋体" w:hAnsi="宋体"/>
                <w:szCs w:val="21"/>
                <w:u w:val="single"/>
              </w:rPr>
              <w:t>_</w:t>
            </w:r>
            <w:r>
              <w:rPr>
                <w:rFonts w:hint="eastAsia" w:ascii="宋体" w:hAnsi="宋体"/>
                <w:szCs w:val="21"/>
              </w:rPr>
              <w:t xml:space="preserve">房间； </w:t>
            </w:r>
          </w:p>
          <w:p>
            <w:pPr>
              <w:spacing w:beforeLines="20"/>
              <w:ind w:firstLine="420" w:firstLineChars="200"/>
              <w:rPr>
                <w:rFonts w:ascii="宋体" w:hAnsi="宋体"/>
                <w:szCs w:val="21"/>
              </w:rPr>
            </w:pPr>
            <w:r>
              <w:rPr>
                <w:rFonts w:hint="eastAsia" w:ascii="宋体" w:hAnsi="宋体"/>
                <w:szCs w:val="21"/>
              </w:rPr>
              <w:t>②房间面积：</w:t>
            </w:r>
            <w:r>
              <w:rPr>
                <w:rFonts w:hint="eastAsia" w:ascii="宋体" w:hAnsi="宋体"/>
                <w:szCs w:val="21"/>
                <w:u w:val="single"/>
              </w:rPr>
              <w:t xml:space="preserve"> 200 </w:t>
            </w:r>
            <w:r>
              <w:rPr>
                <w:rFonts w:hint="eastAsia" w:ascii="宋体" w:hAnsi="宋体"/>
                <w:szCs w:val="21"/>
              </w:rPr>
              <w:t>m</w:t>
            </w:r>
            <w:r>
              <w:rPr>
                <w:rFonts w:hint="eastAsia" w:ascii="宋体" w:hAnsi="宋体"/>
                <w:szCs w:val="21"/>
                <w:vertAlign w:val="superscript"/>
              </w:rPr>
              <w:t>2</w:t>
            </w:r>
            <w:r>
              <w:rPr>
                <w:rFonts w:hint="eastAsia" w:ascii="宋体" w:hAnsi="宋体"/>
                <w:szCs w:val="21"/>
              </w:rPr>
              <w:t>，是否与其它仪器共用</w:t>
            </w:r>
            <w:r>
              <w:rPr>
                <w:rFonts w:hint="eastAsia" w:ascii="宋体" w:hAnsi="宋体"/>
                <w:szCs w:val="21"/>
                <w:u w:val="single"/>
              </w:rPr>
              <w:t xml:space="preserve">  是</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pPr>
              <w:spacing w:beforeLines="20"/>
              <w:ind w:firstLine="420" w:firstLineChars="200"/>
              <w:rPr>
                <w:rFonts w:ascii="宋体" w:hAnsi="宋体"/>
                <w:bCs/>
                <w:szCs w:val="21"/>
              </w:rPr>
            </w:pPr>
            <w:r>
              <w:rPr>
                <w:rFonts w:hint="eastAsia" w:ascii="宋体" w:hAnsi="宋体"/>
                <w:szCs w:val="21"/>
              </w:rPr>
              <w:t>③是否</w:t>
            </w:r>
            <w:r>
              <w:rPr>
                <w:rFonts w:ascii="宋体" w:hAnsi="宋体"/>
                <w:szCs w:val="21"/>
              </w:rPr>
              <w:t>存在影响环保和安全的因素？</w:t>
            </w:r>
            <w:r>
              <w:rPr>
                <w:rFonts w:hint="eastAsia" w:ascii="宋体" w:hAnsi="宋体"/>
                <w:bCs/>
                <w:szCs w:val="21"/>
              </w:rPr>
              <w:sym w:font="Wingdings" w:char="F0FE"/>
            </w:r>
            <w:r>
              <w:rPr>
                <w:rFonts w:hint="eastAsia" w:ascii="宋体" w:hAnsi="宋体"/>
                <w:bCs/>
                <w:szCs w:val="21"/>
              </w:rPr>
              <w:t>否</w:t>
            </w:r>
            <w:r>
              <w:rPr>
                <w:rFonts w:ascii="宋体" w:hAnsi="宋体"/>
                <w:bCs/>
                <w:szCs w:val="21"/>
              </w:rPr>
              <w:t xml:space="preserve">  </w:t>
            </w:r>
            <w:r>
              <w:rPr>
                <w:rFonts w:hint="eastAsia" w:ascii="宋体" w:hAnsi="宋体"/>
                <w:bCs/>
                <w:szCs w:val="21"/>
              </w:rPr>
              <w:t>□是</w:t>
            </w:r>
          </w:p>
          <w:p>
            <w:pPr>
              <w:spacing w:beforeLines="20"/>
              <w:ind w:firstLine="420" w:firstLineChars="200"/>
              <w:rPr>
                <w:rFonts w:ascii="宋体" w:hAnsi="宋体"/>
                <w:bCs/>
                <w:szCs w:val="21"/>
              </w:rPr>
            </w:pPr>
            <w:r>
              <w:rPr>
                <w:rFonts w:hint="eastAsia" w:ascii="宋体" w:hAnsi="宋体"/>
                <w:bCs/>
                <w:szCs w:val="21"/>
              </w:rPr>
              <w:t>预计</w:t>
            </w:r>
            <w:r>
              <w:rPr>
                <w:rFonts w:ascii="宋体" w:hAnsi="宋体"/>
                <w:bCs/>
                <w:szCs w:val="21"/>
              </w:rPr>
              <w:t>存在哪些不安全因素及其</w:t>
            </w:r>
            <w:r>
              <w:rPr>
                <w:rFonts w:hint="eastAsia" w:ascii="宋体" w:hAnsi="宋体"/>
                <w:bCs/>
                <w:szCs w:val="21"/>
              </w:rPr>
              <w:t>具体</w:t>
            </w:r>
            <w:r>
              <w:rPr>
                <w:rFonts w:ascii="宋体" w:hAnsi="宋体"/>
                <w:bCs/>
                <w:szCs w:val="21"/>
              </w:rPr>
              <w:t>安全措施是：</w:t>
            </w:r>
          </w:p>
          <w:p>
            <w:pPr>
              <w:spacing w:beforeLines="20"/>
              <w:ind w:firstLine="420" w:firstLineChars="200"/>
              <w:rPr>
                <w:rFonts w:ascii="宋体" w:hAnsi="宋体"/>
                <w:bCs/>
                <w:szCs w:val="21"/>
              </w:rPr>
            </w:pPr>
            <w:r>
              <w:rPr>
                <w:rFonts w:hint="eastAsia" w:asciiTheme="minorEastAsia" w:hAnsiTheme="minorEastAsia"/>
                <w:szCs w:val="21"/>
              </w:rPr>
              <w:t>④</w:t>
            </w:r>
            <w:r>
              <w:rPr>
                <w:rFonts w:hint="eastAsia" w:ascii="宋体" w:hAnsi="宋体"/>
                <w:szCs w:val="21"/>
              </w:rPr>
              <w:t>供水供电及仪器特殊要求（防震、防磁、超净、恒温、接地等）的落实情况：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850" w:type="dxa"/>
            <w:vMerge w:val="restart"/>
            <w:vAlign w:val="center"/>
          </w:tcPr>
          <w:p>
            <w:pPr>
              <w:spacing w:line="360" w:lineRule="exact"/>
              <w:ind w:left="120"/>
              <w:jc w:val="center"/>
              <w:rPr>
                <w:rFonts w:ascii="宋体" w:hAnsi="宋体"/>
                <w:bCs/>
                <w:spacing w:val="16"/>
                <w:sz w:val="28"/>
                <w:szCs w:val="28"/>
              </w:rPr>
            </w:pPr>
            <w:r>
              <w:rPr>
                <w:rFonts w:hint="eastAsia" w:ascii="宋体" w:hAnsi="宋体"/>
                <w:bCs/>
                <w:spacing w:val="16"/>
                <w:sz w:val="28"/>
                <w:szCs w:val="28"/>
              </w:rPr>
              <w:t>开放共享设想</w:t>
            </w:r>
          </w:p>
        </w:tc>
        <w:tc>
          <w:tcPr>
            <w:tcW w:w="4982" w:type="dxa"/>
            <w:gridSpan w:val="7"/>
            <w:vAlign w:val="center"/>
          </w:tcPr>
          <w:p>
            <w:pPr>
              <w:ind w:firstLine="105" w:firstLineChars="50"/>
              <w:rPr>
                <w:rFonts w:ascii="宋体" w:hAnsi="宋体"/>
                <w:szCs w:val="21"/>
              </w:rPr>
            </w:pPr>
            <w:r>
              <w:rPr>
                <w:rFonts w:hint="eastAsia" w:ascii="宋体" w:hAnsi="宋体"/>
                <w:szCs w:val="21"/>
              </w:rPr>
              <w:t>是否</w:t>
            </w:r>
            <w:r>
              <w:rPr>
                <w:rFonts w:ascii="宋体" w:hAnsi="宋体"/>
                <w:szCs w:val="21"/>
              </w:rPr>
              <w:t>愿意</w:t>
            </w:r>
            <w:r>
              <w:rPr>
                <w:rFonts w:hint="eastAsia" w:ascii="宋体" w:hAnsi="宋体"/>
                <w:szCs w:val="21"/>
              </w:rPr>
              <w:t>开展</w:t>
            </w:r>
            <w:r>
              <w:rPr>
                <w:rFonts w:ascii="宋体" w:hAnsi="宋体"/>
                <w:szCs w:val="21"/>
              </w:rPr>
              <w:t>大型仪器设备校内外</w:t>
            </w:r>
            <w:r>
              <w:rPr>
                <w:rFonts w:hint="eastAsia" w:ascii="宋体" w:hAnsi="宋体"/>
                <w:szCs w:val="21"/>
              </w:rPr>
              <w:t>开放共享</w:t>
            </w:r>
          </w:p>
        </w:tc>
        <w:tc>
          <w:tcPr>
            <w:tcW w:w="2131" w:type="dxa"/>
            <w:gridSpan w:val="3"/>
            <w:vAlign w:val="center"/>
          </w:tcPr>
          <w:p>
            <w:pPr>
              <w:ind w:firstLine="105" w:firstLineChars="50"/>
              <w:rPr>
                <w:rFonts w:ascii="宋体" w:hAnsi="宋体"/>
                <w:szCs w:val="21"/>
              </w:rPr>
            </w:pPr>
            <w:r>
              <w:rPr>
                <w:rFonts w:hint="eastAsia" w:ascii="宋体" w:hAnsi="宋体"/>
                <w:szCs w:val="21"/>
              </w:rPr>
              <w:t>愿意</w:t>
            </w:r>
            <w:r>
              <w:rPr>
                <w:rFonts w:ascii="宋体" w:hAnsi="宋体"/>
                <w:szCs w:val="21"/>
              </w:rPr>
              <w:t>（</w:t>
            </w:r>
            <w:r>
              <w:rPr>
                <w:rFonts w:ascii="宋体" w:hAnsi="宋体"/>
                <w:szCs w:val="21"/>
              </w:rPr>
              <w:sym w:font="Wingdings" w:char="F0FE"/>
            </w:r>
            <w:r>
              <w:rPr>
                <w:rFonts w:ascii="宋体" w:hAnsi="宋体"/>
                <w:szCs w:val="21"/>
              </w:rPr>
              <w:t>）</w:t>
            </w:r>
          </w:p>
        </w:tc>
        <w:tc>
          <w:tcPr>
            <w:tcW w:w="1716" w:type="dxa"/>
            <w:gridSpan w:val="3"/>
            <w:vAlign w:val="center"/>
          </w:tcPr>
          <w:p>
            <w:pPr>
              <w:ind w:firstLine="105" w:firstLineChars="50"/>
              <w:rPr>
                <w:rFonts w:ascii="宋体" w:hAnsi="宋体"/>
                <w:szCs w:val="21"/>
              </w:rPr>
            </w:pPr>
            <w:r>
              <w:rPr>
                <w:rFonts w:hint="eastAsia" w:ascii="宋体" w:hAnsi="宋体"/>
                <w:szCs w:val="21"/>
              </w:rPr>
              <w:t>不愿意</w:t>
            </w:r>
            <w:r>
              <w:rPr>
                <w:rFonts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850" w:type="dxa"/>
            <w:vMerge w:val="continue"/>
          </w:tcPr>
          <w:p>
            <w:pPr>
              <w:spacing w:line="360" w:lineRule="exact"/>
              <w:ind w:left="120"/>
              <w:rPr>
                <w:rFonts w:ascii="宋体" w:hAnsi="宋体"/>
                <w:bCs/>
                <w:spacing w:val="16"/>
                <w:sz w:val="28"/>
                <w:szCs w:val="28"/>
              </w:rPr>
            </w:pPr>
          </w:p>
        </w:tc>
        <w:tc>
          <w:tcPr>
            <w:tcW w:w="4982" w:type="dxa"/>
            <w:gridSpan w:val="7"/>
            <w:vAlign w:val="center"/>
          </w:tcPr>
          <w:p>
            <w:pPr>
              <w:ind w:firstLine="105" w:firstLineChars="50"/>
              <w:rPr>
                <w:rFonts w:ascii="宋体" w:hAnsi="宋体"/>
                <w:szCs w:val="21"/>
              </w:rPr>
            </w:pPr>
            <w:r>
              <w:rPr>
                <w:rFonts w:hint="eastAsia" w:ascii="宋体" w:hAnsi="宋体"/>
                <w:szCs w:val="21"/>
              </w:rPr>
              <w:t>是否</w:t>
            </w:r>
            <w:r>
              <w:rPr>
                <w:rFonts w:ascii="宋体" w:hAnsi="宋体"/>
                <w:szCs w:val="21"/>
              </w:rPr>
              <w:t>愿意纳入浙江省大型科学仪器设备</w:t>
            </w:r>
            <w:r>
              <w:rPr>
                <w:rFonts w:hint="eastAsia" w:ascii="宋体" w:hAnsi="宋体"/>
                <w:szCs w:val="21"/>
              </w:rPr>
              <w:t>协</w:t>
            </w:r>
            <w:r>
              <w:rPr>
                <w:rFonts w:ascii="宋体" w:hAnsi="宋体"/>
                <w:szCs w:val="21"/>
              </w:rPr>
              <w:t>作平台</w:t>
            </w:r>
          </w:p>
        </w:tc>
        <w:tc>
          <w:tcPr>
            <w:tcW w:w="2131" w:type="dxa"/>
            <w:gridSpan w:val="3"/>
            <w:vAlign w:val="center"/>
          </w:tcPr>
          <w:p>
            <w:pPr>
              <w:ind w:firstLine="105" w:firstLineChars="50"/>
              <w:rPr>
                <w:rFonts w:ascii="宋体" w:hAnsi="宋体"/>
                <w:szCs w:val="21"/>
              </w:rPr>
            </w:pPr>
            <w:r>
              <w:rPr>
                <w:rFonts w:hint="eastAsia" w:ascii="宋体" w:hAnsi="宋体"/>
                <w:szCs w:val="21"/>
              </w:rPr>
              <w:t>愿意</w:t>
            </w:r>
            <w:r>
              <w:rPr>
                <w:rFonts w:ascii="宋体" w:hAnsi="宋体"/>
                <w:szCs w:val="21"/>
              </w:rPr>
              <w:t>（</w:t>
            </w:r>
            <w:r>
              <w:rPr>
                <w:rFonts w:ascii="宋体" w:hAnsi="宋体"/>
                <w:szCs w:val="21"/>
              </w:rPr>
              <w:sym w:font="Wingdings" w:char="F0FE"/>
            </w:r>
            <w:r>
              <w:rPr>
                <w:rFonts w:ascii="宋体" w:hAnsi="宋体"/>
                <w:szCs w:val="21"/>
              </w:rPr>
              <w:t>）</w:t>
            </w:r>
          </w:p>
        </w:tc>
        <w:tc>
          <w:tcPr>
            <w:tcW w:w="1716" w:type="dxa"/>
            <w:gridSpan w:val="3"/>
            <w:vAlign w:val="center"/>
          </w:tcPr>
          <w:p>
            <w:pPr>
              <w:ind w:firstLine="105" w:firstLineChars="50"/>
              <w:rPr>
                <w:rFonts w:ascii="宋体" w:hAnsi="宋体"/>
                <w:szCs w:val="21"/>
              </w:rPr>
            </w:pPr>
            <w:r>
              <w:rPr>
                <w:rFonts w:hint="eastAsia" w:ascii="宋体" w:hAnsi="宋体"/>
                <w:szCs w:val="21"/>
              </w:rPr>
              <w:t>不愿意</w:t>
            </w:r>
            <w:r>
              <w:rPr>
                <w:rFonts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2" w:hRule="atLeast"/>
          <w:jc w:val="center"/>
        </w:trPr>
        <w:tc>
          <w:tcPr>
            <w:tcW w:w="850" w:type="dxa"/>
            <w:vMerge w:val="continue"/>
          </w:tcPr>
          <w:p>
            <w:pPr>
              <w:spacing w:line="360" w:lineRule="exact"/>
              <w:ind w:left="120"/>
              <w:rPr>
                <w:rFonts w:ascii="宋体" w:hAnsi="宋体"/>
                <w:bCs/>
                <w:spacing w:val="16"/>
                <w:sz w:val="28"/>
                <w:szCs w:val="28"/>
              </w:rPr>
            </w:pPr>
          </w:p>
        </w:tc>
        <w:tc>
          <w:tcPr>
            <w:tcW w:w="8829" w:type="dxa"/>
            <w:gridSpan w:val="13"/>
          </w:tcPr>
          <w:p>
            <w:pPr>
              <w:ind w:firstLine="105" w:firstLineChars="50"/>
              <w:rPr>
                <w:rFonts w:ascii="宋体" w:hAnsi="宋体"/>
                <w:szCs w:val="21"/>
              </w:rPr>
            </w:pPr>
            <w:r>
              <w:rPr>
                <w:rFonts w:hint="eastAsia" w:ascii="宋体" w:hAnsi="宋体"/>
                <w:szCs w:val="21"/>
              </w:rPr>
              <w:t>其他</w:t>
            </w:r>
            <w:r>
              <w:rPr>
                <w:rFonts w:ascii="宋体" w:hAnsi="宋体"/>
                <w:szCs w:val="21"/>
              </w:rPr>
              <w:t>设想：</w:t>
            </w:r>
          </w:p>
        </w:tc>
      </w:tr>
      <w:tr>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806" w:hRule="atLeast"/>
          <w:jc w:val="center"/>
        </w:trPr>
        <w:tc>
          <w:tcPr>
            <w:tcW w:w="850" w:type="dxa"/>
            <w:vMerge w:val="restart"/>
            <w:tcBorders>
              <w:top w:val="single" w:color="auto" w:sz="4" w:space="0"/>
              <w:right w:val="single" w:color="auto" w:sz="4" w:space="0"/>
            </w:tcBorders>
            <w:vAlign w:val="center"/>
          </w:tcPr>
          <w:p>
            <w:pPr>
              <w:spacing w:line="360" w:lineRule="exact"/>
              <w:jc w:val="center"/>
              <w:rPr>
                <w:rFonts w:ascii="宋体" w:hAnsi="宋体"/>
                <w:bCs/>
                <w:spacing w:val="16"/>
                <w:sz w:val="28"/>
                <w:szCs w:val="28"/>
              </w:rPr>
            </w:pPr>
            <w:r>
              <w:rPr>
                <w:rFonts w:hint="eastAsia" w:ascii="宋体" w:hAnsi="宋体"/>
                <w:bCs/>
                <w:spacing w:val="16"/>
                <w:sz w:val="28"/>
                <w:szCs w:val="28"/>
              </w:rPr>
              <w:t>专</w:t>
            </w:r>
          </w:p>
          <w:p>
            <w:pPr>
              <w:spacing w:line="360" w:lineRule="exact"/>
              <w:jc w:val="center"/>
              <w:rPr>
                <w:rFonts w:ascii="宋体" w:hAnsi="宋体"/>
                <w:bCs/>
                <w:spacing w:val="16"/>
                <w:sz w:val="28"/>
                <w:szCs w:val="28"/>
              </w:rPr>
            </w:pPr>
            <w:r>
              <w:rPr>
                <w:rFonts w:hint="eastAsia" w:ascii="宋体" w:hAnsi="宋体"/>
                <w:bCs/>
                <w:spacing w:val="16"/>
                <w:sz w:val="28"/>
                <w:szCs w:val="28"/>
              </w:rPr>
              <w:t>家</w:t>
            </w:r>
          </w:p>
          <w:p>
            <w:pPr>
              <w:spacing w:line="360" w:lineRule="exact"/>
              <w:jc w:val="center"/>
              <w:rPr>
                <w:rFonts w:ascii="宋体" w:hAnsi="宋体"/>
                <w:bCs/>
                <w:spacing w:val="16"/>
                <w:sz w:val="28"/>
                <w:szCs w:val="28"/>
              </w:rPr>
            </w:pPr>
            <w:r>
              <w:rPr>
                <w:rFonts w:hint="eastAsia" w:ascii="宋体" w:hAnsi="宋体"/>
                <w:bCs/>
                <w:spacing w:val="16"/>
                <w:sz w:val="28"/>
                <w:szCs w:val="28"/>
              </w:rPr>
              <w:t>组</w:t>
            </w:r>
          </w:p>
          <w:p>
            <w:pPr>
              <w:spacing w:line="360" w:lineRule="exact"/>
              <w:jc w:val="center"/>
              <w:rPr>
                <w:rFonts w:ascii="宋体" w:hAnsi="宋体"/>
                <w:bCs/>
                <w:spacing w:val="16"/>
                <w:sz w:val="28"/>
                <w:szCs w:val="28"/>
              </w:rPr>
            </w:pPr>
            <w:r>
              <w:rPr>
                <w:rFonts w:hint="eastAsia" w:ascii="宋体" w:hAnsi="宋体"/>
                <w:bCs/>
                <w:spacing w:val="16"/>
                <w:sz w:val="28"/>
                <w:szCs w:val="28"/>
              </w:rPr>
              <w:t>论</w:t>
            </w:r>
          </w:p>
          <w:p>
            <w:pPr>
              <w:spacing w:line="360" w:lineRule="exact"/>
              <w:jc w:val="center"/>
              <w:rPr>
                <w:rFonts w:ascii="宋体" w:hAnsi="宋体"/>
                <w:bCs/>
                <w:spacing w:val="16"/>
                <w:sz w:val="28"/>
                <w:szCs w:val="28"/>
              </w:rPr>
            </w:pPr>
            <w:r>
              <w:rPr>
                <w:rFonts w:hint="eastAsia" w:ascii="宋体" w:hAnsi="宋体"/>
                <w:bCs/>
                <w:spacing w:val="16"/>
                <w:sz w:val="28"/>
                <w:szCs w:val="28"/>
              </w:rPr>
              <w:t>证</w:t>
            </w:r>
          </w:p>
          <w:p>
            <w:pPr>
              <w:spacing w:line="360" w:lineRule="exact"/>
              <w:jc w:val="center"/>
              <w:rPr>
                <w:rFonts w:ascii="宋体" w:hAnsi="宋体"/>
                <w:bCs/>
                <w:spacing w:val="16"/>
                <w:sz w:val="28"/>
                <w:szCs w:val="28"/>
              </w:rPr>
            </w:pPr>
            <w:r>
              <w:rPr>
                <w:rFonts w:hint="eastAsia" w:ascii="宋体" w:hAnsi="宋体"/>
                <w:bCs/>
                <w:spacing w:val="16"/>
                <w:sz w:val="28"/>
                <w:szCs w:val="28"/>
              </w:rPr>
              <w:t>意</w:t>
            </w:r>
          </w:p>
          <w:p>
            <w:pPr>
              <w:spacing w:line="360" w:lineRule="exact"/>
              <w:jc w:val="center"/>
              <w:rPr>
                <w:rFonts w:ascii="宋体" w:hAnsi="宋体"/>
                <w:b/>
                <w:bCs/>
                <w:szCs w:val="28"/>
              </w:rPr>
            </w:pPr>
            <w:r>
              <w:rPr>
                <w:rFonts w:hint="eastAsia" w:ascii="宋体" w:hAnsi="宋体"/>
                <w:bCs/>
                <w:spacing w:val="16"/>
                <w:sz w:val="28"/>
                <w:szCs w:val="28"/>
              </w:rPr>
              <w:t>见</w:t>
            </w:r>
          </w:p>
        </w:tc>
        <w:tc>
          <w:tcPr>
            <w:tcW w:w="8829" w:type="dxa"/>
            <w:gridSpan w:val="13"/>
            <w:tcBorders>
              <w:top w:val="single" w:color="auto" w:sz="4" w:space="0"/>
              <w:left w:val="single" w:color="auto" w:sz="4" w:space="0"/>
              <w:bottom w:val="single" w:color="auto" w:sz="4" w:space="0"/>
            </w:tcBorders>
          </w:tcPr>
          <w:p>
            <w:pPr>
              <w:spacing w:line="360" w:lineRule="auto"/>
              <w:ind w:right="126" w:rightChars="60" w:firstLine="420"/>
              <w:rPr>
                <w:rFonts w:ascii="Times New Roman" w:hAnsi="Times New Roman" w:cs="Times New Roman"/>
                <w:color w:val="000000"/>
                <w:szCs w:val="21"/>
              </w:rPr>
            </w:pPr>
            <w:r>
              <w:rPr>
                <w:rFonts w:hint="eastAsia" w:ascii="Times New Roman" w:hAnsi="Times New Roman" w:cs="Times New Roman"/>
                <w:color w:val="000000"/>
                <w:sz w:val="24"/>
                <w:szCs w:val="21"/>
              </w:rPr>
              <w:t>2022</w:t>
            </w:r>
            <w:r>
              <w:rPr>
                <w:rFonts w:ascii="Times New Roman" w:cs="Times New Roman"/>
                <w:color w:val="000000"/>
                <w:sz w:val="24"/>
                <w:szCs w:val="21"/>
              </w:rPr>
              <w:t>年</w:t>
            </w:r>
            <w:r>
              <w:rPr>
                <w:rFonts w:hint="eastAsia" w:ascii="Times New Roman" w:hAnsi="Times New Roman" w:cs="Times New Roman"/>
                <w:color w:val="000000"/>
                <w:sz w:val="24"/>
                <w:szCs w:val="21"/>
              </w:rPr>
              <w:t>4</w:t>
            </w:r>
            <w:r>
              <w:rPr>
                <w:rFonts w:ascii="Times New Roman" w:cs="Times New Roman"/>
                <w:color w:val="000000"/>
                <w:sz w:val="24"/>
                <w:szCs w:val="21"/>
              </w:rPr>
              <w:t>月</w:t>
            </w:r>
            <w:r>
              <w:rPr>
                <w:rFonts w:hint="eastAsia" w:ascii="Times New Roman" w:hAnsi="Times New Roman" w:cs="Times New Roman"/>
                <w:color w:val="000000"/>
                <w:sz w:val="24"/>
                <w:szCs w:val="21"/>
              </w:rPr>
              <w:t>10</w:t>
            </w:r>
            <w:r>
              <w:rPr>
                <w:rFonts w:ascii="Times New Roman" w:cs="Times New Roman"/>
                <w:color w:val="000000"/>
                <w:sz w:val="24"/>
                <w:szCs w:val="21"/>
              </w:rPr>
              <w:t>日，</w:t>
            </w:r>
            <w:r>
              <w:rPr>
                <w:rFonts w:hint="eastAsia" w:ascii="Times New Roman" w:hAnsi="Times New Roman" w:cs="Times New Roman"/>
                <w:color w:val="000000"/>
                <w:sz w:val="24"/>
                <w:szCs w:val="21"/>
              </w:rPr>
              <w:t>信息工程</w:t>
            </w:r>
            <w:r>
              <w:rPr>
                <w:rFonts w:ascii="Times New Roman" w:cs="Times New Roman"/>
                <w:color w:val="000000"/>
                <w:sz w:val="24"/>
                <w:szCs w:val="21"/>
              </w:rPr>
              <w:t>学院组织有关专家在</w:t>
            </w:r>
            <w:r>
              <w:rPr>
                <w:rFonts w:hint="eastAsia" w:ascii="Times New Roman" w:hAnsi="Times New Roman" w:cs="Times New Roman"/>
                <w:color w:val="000000"/>
                <w:sz w:val="24"/>
                <w:szCs w:val="21"/>
              </w:rPr>
              <w:t>教研楼808</w:t>
            </w:r>
            <w:r>
              <w:rPr>
                <w:rFonts w:ascii="Times New Roman" w:cs="Times New Roman"/>
                <w:color w:val="000000"/>
                <w:sz w:val="24"/>
                <w:szCs w:val="21"/>
              </w:rPr>
              <w:t>（地点）召开了</w:t>
            </w:r>
            <w:r>
              <w:rPr>
                <w:rFonts w:hint="eastAsia" w:ascii="Times New Roman" w:hAnsi="Times New Roman" w:cs="Times New Roman"/>
                <w:color w:val="000000"/>
                <w:sz w:val="24"/>
                <w:szCs w:val="21"/>
              </w:rPr>
              <w:t>数据实验平台及教学管理平台</w:t>
            </w:r>
            <w:r>
              <w:rPr>
                <w:rFonts w:ascii="Times New Roman" w:hAnsi="Times New Roman" w:cs="Times New Roman"/>
                <w:color w:val="000000"/>
                <w:sz w:val="24"/>
                <w:szCs w:val="21"/>
              </w:rPr>
              <w:t>购</w:t>
            </w:r>
            <w:r>
              <w:rPr>
                <w:rFonts w:ascii="Times New Roman" w:cs="Times New Roman"/>
                <w:color w:val="000000"/>
                <w:sz w:val="24"/>
                <w:szCs w:val="21"/>
              </w:rPr>
              <w:t>置论证会。与会专家听取了用户申购报告，并进行了质询和讨论，形成如下意见：</w:t>
            </w:r>
          </w:p>
          <w:p>
            <w:pPr>
              <w:spacing w:line="360" w:lineRule="auto"/>
              <w:ind w:right="126" w:rightChars="60" w:firstLine="420"/>
              <w:rPr>
                <w:rFonts w:ascii="Times New Roman" w:hAnsi="Times New Roman" w:cs="Times New Roman"/>
                <w:color w:val="000000"/>
                <w:sz w:val="24"/>
                <w:szCs w:val="21"/>
              </w:rPr>
            </w:pPr>
            <w:r>
              <w:rPr>
                <w:rFonts w:hint="eastAsia" w:ascii="Times New Roman" w:hAnsi="Times New Roman" w:cs="Times New Roman"/>
                <w:color w:val="000000"/>
                <w:sz w:val="24"/>
                <w:szCs w:val="21"/>
              </w:rPr>
              <w:t>数据实验平台及教学管理平台包含数据科学实验基础支撑平台、虚拟桌面环境实验台、实训工具台、教学及实验管理平台、考试评测管理平台、学习管理中心、私有云支撑和管理平台等，可以支撑人工智能课程教学、实验、测试和管理。</w:t>
            </w:r>
          </w:p>
          <w:p>
            <w:pPr>
              <w:spacing w:line="360" w:lineRule="auto"/>
              <w:ind w:right="126" w:rightChars="60" w:firstLine="420"/>
              <w:rPr>
                <w:rFonts w:ascii="Times New Roman" w:hAnsi="Times New Roman" w:cs="Times New Roman"/>
                <w:color w:val="000000"/>
                <w:sz w:val="24"/>
                <w:szCs w:val="21"/>
              </w:rPr>
            </w:pPr>
            <w:r>
              <w:rPr>
                <w:rFonts w:ascii="Times New Roman" w:hAnsi="Times New Roman" w:cs="Times New Roman"/>
                <w:color w:val="000000"/>
                <w:sz w:val="24"/>
                <w:szCs w:val="21"/>
              </w:rPr>
              <w:t>目前，市场</w:t>
            </w:r>
            <w:r>
              <w:rPr>
                <w:rFonts w:hint="eastAsia" w:ascii="Times New Roman" w:hAnsi="Times New Roman" w:cs="Times New Roman"/>
                <w:color w:val="000000"/>
                <w:sz w:val="24"/>
                <w:szCs w:val="21"/>
              </w:rPr>
              <w:t>上</w:t>
            </w:r>
            <w:r>
              <w:rPr>
                <w:rFonts w:ascii="Times New Roman" w:hAnsi="Times New Roman" w:cs="Times New Roman"/>
                <w:color w:val="000000"/>
                <w:sz w:val="24"/>
                <w:szCs w:val="21"/>
              </w:rPr>
              <w:t>有多</w:t>
            </w:r>
            <w:r>
              <w:rPr>
                <w:rFonts w:hint="eastAsia" w:ascii="Times New Roman" w:hAnsi="Times New Roman" w:cs="Times New Roman"/>
                <w:color w:val="000000"/>
                <w:sz w:val="24"/>
                <w:szCs w:val="21"/>
              </w:rPr>
              <w:t>家企业开发数据实验平台及教学管理平台</w:t>
            </w:r>
            <w:r>
              <w:rPr>
                <w:rFonts w:ascii="Times New Roman" w:hAnsi="Times New Roman" w:cs="Times New Roman"/>
                <w:color w:val="000000"/>
                <w:sz w:val="24"/>
                <w:szCs w:val="21"/>
              </w:rPr>
              <w:t>，</w:t>
            </w:r>
            <w:r>
              <w:rPr>
                <w:rFonts w:hint="eastAsia" w:ascii="Times New Roman" w:hAnsi="Times New Roman" w:cs="Times New Roman"/>
                <w:color w:val="000000"/>
                <w:sz w:val="24"/>
                <w:szCs w:val="21"/>
              </w:rPr>
              <w:t>平台功能丰富，</w:t>
            </w:r>
            <w:r>
              <w:rPr>
                <w:rFonts w:ascii="Times New Roman" w:hAnsi="Times New Roman" w:cs="Times New Roman"/>
                <w:color w:val="000000"/>
                <w:sz w:val="24"/>
                <w:szCs w:val="21"/>
              </w:rPr>
              <w:t>更新</w:t>
            </w:r>
            <w:r>
              <w:rPr>
                <w:rFonts w:hint="eastAsia" w:ascii="Times New Roman" w:hAnsi="Times New Roman" w:cs="Times New Roman"/>
                <w:color w:val="000000"/>
                <w:sz w:val="24"/>
                <w:szCs w:val="21"/>
              </w:rPr>
              <w:t>较</w:t>
            </w:r>
            <w:r>
              <w:rPr>
                <w:rFonts w:ascii="Times New Roman" w:hAnsi="Times New Roman" w:cs="Times New Roman"/>
                <w:color w:val="000000"/>
                <w:sz w:val="24"/>
                <w:szCs w:val="21"/>
              </w:rPr>
              <w:t>快。可以根据</w:t>
            </w:r>
            <w:r>
              <w:rPr>
                <w:rFonts w:hint="eastAsia" w:ascii="Times New Roman" w:hAnsi="Times New Roman" w:cs="Times New Roman"/>
                <w:color w:val="000000"/>
                <w:sz w:val="24"/>
                <w:szCs w:val="21"/>
              </w:rPr>
              <w:t>本专业的</w:t>
            </w:r>
            <w:r>
              <w:rPr>
                <w:rFonts w:ascii="Times New Roman" w:hAnsi="Times New Roman" w:cs="Times New Roman"/>
                <w:color w:val="000000"/>
                <w:sz w:val="24"/>
                <w:szCs w:val="21"/>
              </w:rPr>
              <w:t>实际需求，优选</w:t>
            </w:r>
            <w:r>
              <w:rPr>
                <w:rFonts w:hint="eastAsia" w:ascii="Times New Roman" w:hAnsi="Times New Roman" w:cs="Times New Roman"/>
                <w:color w:val="000000"/>
                <w:sz w:val="24"/>
                <w:szCs w:val="21"/>
              </w:rPr>
              <w:t>合适数据实验平台及教学管理平台</w:t>
            </w:r>
            <w:r>
              <w:rPr>
                <w:rFonts w:ascii="Times New Roman" w:hAnsi="Times New Roman" w:cs="Times New Roman"/>
                <w:color w:val="000000"/>
                <w:sz w:val="24"/>
                <w:szCs w:val="21"/>
              </w:rPr>
              <w:t>，并兼顾</w:t>
            </w:r>
            <w:r>
              <w:rPr>
                <w:rFonts w:hint="eastAsia" w:ascii="Times New Roman" w:hAnsi="Times New Roman" w:cs="Times New Roman"/>
                <w:color w:val="000000"/>
                <w:sz w:val="24"/>
                <w:szCs w:val="21"/>
              </w:rPr>
              <w:t>课程资源的</w:t>
            </w:r>
            <w:r>
              <w:rPr>
                <w:rFonts w:ascii="Times New Roman" w:hAnsi="Times New Roman" w:cs="Times New Roman"/>
                <w:color w:val="000000"/>
                <w:sz w:val="24"/>
                <w:szCs w:val="21"/>
              </w:rPr>
              <w:t>售后与</w:t>
            </w:r>
            <w:r>
              <w:rPr>
                <w:rFonts w:hint="eastAsia" w:ascii="Times New Roman" w:hAnsi="Times New Roman" w:cs="Times New Roman"/>
                <w:color w:val="000000"/>
                <w:sz w:val="24"/>
                <w:szCs w:val="21"/>
              </w:rPr>
              <w:t>升级</w:t>
            </w:r>
            <w:r>
              <w:rPr>
                <w:rFonts w:ascii="Times New Roman" w:hAnsi="Times New Roman" w:cs="Times New Roman"/>
                <w:color w:val="000000"/>
                <w:sz w:val="24"/>
                <w:szCs w:val="21"/>
              </w:rPr>
              <w:t>维护情况。</w:t>
            </w:r>
          </w:p>
          <w:p>
            <w:pPr>
              <w:spacing w:line="360" w:lineRule="auto"/>
              <w:ind w:right="126" w:rightChars="60" w:firstLine="420"/>
              <w:rPr>
                <w:color w:val="000000"/>
                <w:szCs w:val="21"/>
              </w:rPr>
            </w:pPr>
          </w:p>
          <w:p>
            <w:pPr>
              <w:spacing w:line="360" w:lineRule="auto"/>
              <w:ind w:right="126" w:rightChars="60" w:firstLine="420"/>
              <w:rPr>
                <w:color w:val="000000"/>
                <w:szCs w:val="21"/>
              </w:rPr>
            </w:pPr>
          </w:p>
          <w:p>
            <w:pPr>
              <w:spacing w:line="360" w:lineRule="auto"/>
              <w:ind w:right="126" w:rightChars="60" w:firstLine="420"/>
              <w:rPr>
                <w:color w:val="000000"/>
                <w:szCs w:val="21"/>
              </w:rPr>
            </w:pPr>
          </w:p>
          <w:p>
            <w:pPr>
              <w:spacing w:line="360" w:lineRule="auto"/>
              <w:ind w:right="126" w:rightChars="60" w:firstLine="420"/>
              <w:rPr>
                <w:color w:val="000000"/>
                <w:szCs w:val="21"/>
              </w:rPr>
            </w:pPr>
          </w:p>
          <w:p>
            <w:pPr>
              <w:spacing w:line="360" w:lineRule="auto"/>
              <w:ind w:right="126" w:rightChars="60" w:firstLine="420"/>
              <w:rPr>
                <w:color w:val="000000"/>
                <w:szCs w:val="21"/>
              </w:rPr>
            </w:pPr>
          </w:p>
          <w:p>
            <w:pPr>
              <w:spacing w:line="360" w:lineRule="auto"/>
              <w:ind w:right="420"/>
              <w:jc w:val="right"/>
              <w:rPr>
                <w:color w:val="000000"/>
                <w:szCs w:val="21"/>
              </w:rPr>
            </w:pPr>
            <w:r>
              <w:rPr>
                <w:rFonts w:hint="eastAsia"/>
                <w:color w:val="000000"/>
                <w:szCs w:val="21"/>
              </w:rPr>
              <w:t>（申请</w:t>
            </w:r>
            <w:r>
              <w:rPr>
                <w:color w:val="000000"/>
                <w:szCs w:val="21"/>
              </w:rPr>
              <w:t>部门盖章</w:t>
            </w:r>
            <w:r>
              <w:rPr>
                <w:rFonts w:hint="eastAsia"/>
                <w:color w:val="000000"/>
                <w:szCs w:val="21"/>
              </w:rPr>
              <w:t>）</w:t>
            </w:r>
          </w:p>
          <w:p>
            <w:pPr>
              <w:spacing w:line="360" w:lineRule="exact"/>
              <w:ind w:firstLine="210" w:firstLineChars="100"/>
              <w:rPr>
                <w:szCs w:val="21"/>
              </w:rPr>
            </w:pPr>
            <w:r>
              <w:rPr>
                <w:rFonts w:hint="eastAsia" w:ascii="宋体" w:hAnsi="宋体"/>
                <w:bCs/>
                <w:szCs w:val="21"/>
              </w:rPr>
              <w:t xml:space="preserve">               </w:t>
            </w:r>
            <w:r>
              <w:rPr>
                <w:rFonts w:hint="eastAsia"/>
                <w:szCs w:val="21"/>
              </w:rPr>
              <w:t xml:space="preserve">                                             年 </w:t>
            </w:r>
            <w:r>
              <w:rPr>
                <w:szCs w:val="21"/>
              </w:rPr>
              <w:t xml:space="preserve">  </w:t>
            </w:r>
            <w:r>
              <w:rPr>
                <w:rFonts w:hint="eastAsia"/>
                <w:szCs w:val="21"/>
              </w:rPr>
              <w:t xml:space="preserve"> 月 </w:t>
            </w:r>
            <w:r>
              <w:rPr>
                <w:szCs w:val="21"/>
              </w:rPr>
              <w:t xml:space="preserve"> </w:t>
            </w:r>
            <w:r>
              <w:rPr>
                <w:rFonts w:hint="eastAsia"/>
                <w:szCs w:val="21"/>
              </w:rPr>
              <w:t xml:space="preserve">  日</w:t>
            </w:r>
          </w:p>
          <w:p>
            <w:pPr>
              <w:spacing w:line="360" w:lineRule="exact"/>
              <w:rPr>
                <w:rFonts w:ascii="宋体" w:hAnsi="宋体"/>
                <w:color w:val="000000"/>
                <w:sz w:val="24"/>
                <w:szCs w:val="28"/>
              </w:rPr>
            </w:pPr>
          </w:p>
        </w:tc>
      </w:tr>
      <w:tr>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79" w:hRule="atLeast"/>
          <w:jc w:val="center"/>
        </w:trPr>
        <w:tc>
          <w:tcPr>
            <w:tcW w:w="850" w:type="dxa"/>
            <w:vMerge w:val="continue"/>
            <w:tcBorders>
              <w:right w:val="single" w:color="auto" w:sz="4" w:space="0"/>
            </w:tcBorders>
            <w:vAlign w:val="center"/>
          </w:tcPr>
          <w:p>
            <w:pPr>
              <w:spacing w:line="360" w:lineRule="exact"/>
              <w:jc w:val="center"/>
              <w:rPr>
                <w:rFonts w:ascii="宋体" w:hAnsi="宋体"/>
                <w:bCs/>
                <w:szCs w:val="28"/>
              </w:rPr>
            </w:pPr>
          </w:p>
        </w:tc>
        <w:tc>
          <w:tcPr>
            <w:tcW w:w="1856" w:type="dxa"/>
            <w:gridSpan w:val="2"/>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bCs/>
                <w:szCs w:val="21"/>
              </w:rPr>
            </w:pPr>
            <w:r>
              <w:rPr>
                <w:rFonts w:ascii="Times New Roman" w:hAnsi="宋体" w:cs="Times New Roman"/>
                <w:bCs/>
                <w:szCs w:val="21"/>
              </w:rPr>
              <w:t>专家姓名</w:t>
            </w:r>
          </w:p>
        </w:tc>
        <w:tc>
          <w:tcPr>
            <w:tcW w:w="2389" w:type="dxa"/>
            <w:gridSpan w:val="4"/>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bCs/>
                <w:szCs w:val="21"/>
              </w:rPr>
            </w:pPr>
            <w:r>
              <w:rPr>
                <w:rFonts w:ascii="Times New Roman" w:hAnsi="宋体" w:cs="Times New Roman"/>
                <w:bCs/>
                <w:szCs w:val="21"/>
              </w:rPr>
              <w:t>工作单位</w:t>
            </w:r>
          </w:p>
        </w:tc>
        <w:tc>
          <w:tcPr>
            <w:tcW w:w="1418" w:type="dxa"/>
            <w:gridSpan w:val="3"/>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bCs/>
                <w:szCs w:val="21"/>
              </w:rPr>
            </w:pPr>
            <w:r>
              <w:rPr>
                <w:rFonts w:ascii="Times New Roman" w:hAnsi="宋体" w:cs="Times New Roman"/>
                <w:bCs/>
                <w:szCs w:val="21"/>
              </w:rPr>
              <w:t>职称</w:t>
            </w:r>
          </w:p>
        </w:tc>
        <w:tc>
          <w:tcPr>
            <w:tcW w:w="1797" w:type="dxa"/>
            <w:gridSpan w:val="2"/>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bCs/>
                <w:szCs w:val="21"/>
              </w:rPr>
            </w:pPr>
            <w:r>
              <w:rPr>
                <w:rFonts w:ascii="Times New Roman" w:hAnsi="宋体" w:cs="Times New Roman"/>
                <w:bCs/>
                <w:szCs w:val="21"/>
              </w:rPr>
              <w:t>联系电话</w:t>
            </w:r>
          </w:p>
        </w:tc>
        <w:tc>
          <w:tcPr>
            <w:tcW w:w="1369" w:type="dxa"/>
            <w:gridSpan w:val="2"/>
            <w:tcBorders>
              <w:top w:val="single" w:color="auto" w:sz="4" w:space="0"/>
              <w:left w:val="single" w:color="auto" w:sz="4" w:space="0"/>
              <w:bottom w:val="single" w:color="auto" w:sz="4" w:space="0"/>
            </w:tcBorders>
            <w:vAlign w:val="center"/>
          </w:tcPr>
          <w:p>
            <w:pPr>
              <w:wordWrap w:val="0"/>
              <w:spacing w:line="360" w:lineRule="exact"/>
              <w:jc w:val="center"/>
              <w:rPr>
                <w:rFonts w:ascii="Times New Roman" w:hAnsi="Times New Roman" w:cs="Times New Roman"/>
                <w:bCs/>
                <w:szCs w:val="21"/>
              </w:rPr>
            </w:pPr>
            <w:r>
              <w:rPr>
                <w:rFonts w:ascii="Times New Roman" w:hAnsi="宋体" w:cs="Times New Roman"/>
                <w:bCs/>
                <w:szCs w:val="21"/>
              </w:rPr>
              <w:t>签名</w:t>
            </w:r>
          </w:p>
        </w:tc>
      </w:tr>
      <w:tr>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58" w:hRule="atLeast"/>
          <w:jc w:val="center"/>
        </w:trPr>
        <w:tc>
          <w:tcPr>
            <w:tcW w:w="850" w:type="dxa"/>
            <w:vMerge w:val="continue"/>
            <w:tcBorders>
              <w:right w:val="single" w:color="auto" w:sz="4" w:space="0"/>
            </w:tcBorders>
            <w:vAlign w:val="center"/>
          </w:tcPr>
          <w:p>
            <w:pPr>
              <w:spacing w:line="360" w:lineRule="exact"/>
              <w:jc w:val="center"/>
              <w:rPr>
                <w:rFonts w:ascii="宋体" w:hAnsi="宋体"/>
                <w:bCs/>
                <w:szCs w:val="28"/>
              </w:rPr>
            </w:pPr>
          </w:p>
        </w:tc>
        <w:tc>
          <w:tcPr>
            <w:tcW w:w="185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cs="Times New Roman"/>
                <w:bCs/>
                <w:szCs w:val="21"/>
              </w:rPr>
            </w:pPr>
            <w:r>
              <w:rPr>
                <w:rFonts w:ascii="Times New Roman" w:hAnsi="宋体" w:cs="Times New Roman"/>
                <w:bCs/>
                <w:szCs w:val="21"/>
              </w:rPr>
              <w:t>组长：</w:t>
            </w:r>
            <w:r>
              <w:rPr>
                <w:rFonts w:hint="eastAsia" w:ascii="Times New Roman" w:hAnsi="Times New Roman" w:cs="Times New Roman"/>
                <w:bCs/>
                <w:szCs w:val="21"/>
              </w:rPr>
              <w:t>梁曦</w:t>
            </w:r>
          </w:p>
        </w:tc>
        <w:tc>
          <w:tcPr>
            <w:tcW w:w="2389" w:type="dxa"/>
            <w:gridSpan w:val="4"/>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bCs/>
                <w:szCs w:val="21"/>
              </w:rPr>
            </w:pPr>
            <w:r>
              <w:rPr>
                <w:rFonts w:hint="eastAsia" w:ascii="Times New Roman" w:hAnsi="Times New Roman" w:cs="Times New Roman"/>
                <w:bCs/>
                <w:szCs w:val="21"/>
              </w:rPr>
              <w:t>浙江水利水电学院</w:t>
            </w:r>
          </w:p>
        </w:tc>
        <w:tc>
          <w:tcPr>
            <w:tcW w:w="1418" w:type="dxa"/>
            <w:gridSpan w:val="3"/>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bCs/>
                <w:szCs w:val="21"/>
              </w:rPr>
            </w:pPr>
            <w:r>
              <w:rPr>
                <w:rFonts w:hint="eastAsia" w:ascii="Times New Roman" w:hAnsi="Times New Roman" w:cs="Times New Roman"/>
                <w:bCs/>
                <w:szCs w:val="21"/>
              </w:rPr>
              <w:t>教授</w:t>
            </w:r>
          </w:p>
        </w:tc>
        <w:tc>
          <w:tcPr>
            <w:tcW w:w="179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rPr>
            </w:pPr>
            <w:r>
              <w:rPr>
                <w:rFonts w:hint="eastAsia" w:ascii="Times New Roman" w:hAnsi="Times New Roman" w:cs="Times New Roman"/>
              </w:rPr>
              <w:t>13989464899</w:t>
            </w:r>
          </w:p>
        </w:tc>
        <w:tc>
          <w:tcPr>
            <w:tcW w:w="1369" w:type="dxa"/>
            <w:gridSpan w:val="2"/>
            <w:tcBorders>
              <w:top w:val="single" w:color="auto" w:sz="4" w:space="0"/>
              <w:left w:val="single" w:color="auto" w:sz="4" w:space="0"/>
              <w:bottom w:val="single" w:color="auto" w:sz="4" w:space="0"/>
            </w:tcBorders>
            <w:vAlign w:val="center"/>
          </w:tcPr>
          <w:p>
            <w:pPr>
              <w:wordWrap w:val="0"/>
              <w:spacing w:line="360" w:lineRule="exact"/>
              <w:jc w:val="center"/>
              <w:rPr>
                <w:rFonts w:ascii="Times New Roman" w:hAnsi="Times New Roman" w:cs="Times New Roman"/>
                <w:bCs/>
                <w:szCs w:val="21"/>
              </w:rPr>
            </w:pPr>
          </w:p>
        </w:tc>
      </w:tr>
      <w:tr>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41" w:hRule="atLeast"/>
          <w:jc w:val="center"/>
        </w:trPr>
        <w:tc>
          <w:tcPr>
            <w:tcW w:w="850" w:type="dxa"/>
            <w:vMerge w:val="continue"/>
            <w:tcBorders>
              <w:right w:val="single" w:color="auto" w:sz="4" w:space="0"/>
            </w:tcBorders>
            <w:vAlign w:val="center"/>
          </w:tcPr>
          <w:p>
            <w:pPr>
              <w:spacing w:line="360" w:lineRule="exact"/>
              <w:jc w:val="center"/>
              <w:rPr>
                <w:rFonts w:ascii="宋体" w:hAnsi="宋体"/>
                <w:bCs/>
                <w:szCs w:val="28"/>
              </w:rPr>
            </w:pPr>
          </w:p>
        </w:tc>
        <w:tc>
          <w:tcPr>
            <w:tcW w:w="1856" w:type="dxa"/>
            <w:gridSpan w:val="2"/>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杨志</w:t>
            </w:r>
          </w:p>
        </w:tc>
        <w:tc>
          <w:tcPr>
            <w:tcW w:w="2389" w:type="dxa"/>
            <w:gridSpan w:val="4"/>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bCs/>
                <w:szCs w:val="21"/>
              </w:rPr>
              <w:t>浙江水利水电学院</w:t>
            </w:r>
          </w:p>
        </w:tc>
        <w:tc>
          <w:tcPr>
            <w:tcW w:w="1418" w:type="dxa"/>
            <w:gridSpan w:val="3"/>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副教授</w:t>
            </w:r>
          </w:p>
        </w:tc>
        <w:tc>
          <w:tcPr>
            <w:tcW w:w="179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rPr>
            </w:pPr>
            <w:r>
              <w:rPr>
                <w:rFonts w:hint="eastAsia" w:ascii="Times New Roman" w:hAnsi="Times New Roman" w:cs="Times New Roman"/>
              </w:rPr>
              <w:t>13868138017</w:t>
            </w:r>
          </w:p>
        </w:tc>
        <w:tc>
          <w:tcPr>
            <w:tcW w:w="1369" w:type="dxa"/>
            <w:gridSpan w:val="2"/>
            <w:tcBorders>
              <w:top w:val="single" w:color="auto" w:sz="4" w:space="0"/>
              <w:left w:val="single" w:color="auto" w:sz="4" w:space="0"/>
              <w:bottom w:val="single" w:color="auto" w:sz="4" w:space="0"/>
            </w:tcBorders>
            <w:vAlign w:val="center"/>
          </w:tcPr>
          <w:p>
            <w:pPr>
              <w:wordWrap w:val="0"/>
              <w:spacing w:line="360" w:lineRule="exact"/>
              <w:jc w:val="center"/>
              <w:rPr>
                <w:rFonts w:ascii="Times New Roman" w:hAnsi="Times New Roman" w:cs="Times New Roman"/>
                <w:color w:val="000000"/>
                <w:szCs w:val="21"/>
              </w:rPr>
            </w:pPr>
          </w:p>
        </w:tc>
      </w:tr>
      <w:tr>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3" w:hRule="atLeast"/>
          <w:jc w:val="center"/>
        </w:trPr>
        <w:tc>
          <w:tcPr>
            <w:tcW w:w="850" w:type="dxa"/>
            <w:vMerge w:val="continue"/>
            <w:tcBorders>
              <w:right w:val="single" w:color="auto" w:sz="4" w:space="0"/>
            </w:tcBorders>
            <w:vAlign w:val="center"/>
          </w:tcPr>
          <w:p>
            <w:pPr>
              <w:spacing w:line="360" w:lineRule="exact"/>
              <w:jc w:val="center"/>
              <w:rPr>
                <w:rFonts w:ascii="宋体" w:hAnsi="宋体"/>
                <w:bCs/>
                <w:szCs w:val="28"/>
              </w:rPr>
            </w:pPr>
          </w:p>
        </w:tc>
        <w:tc>
          <w:tcPr>
            <w:tcW w:w="1856" w:type="dxa"/>
            <w:gridSpan w:val="2"/>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hint="default" w:ascii="Times New Roman" w:hAnsi="Times New Roman" w:cs="Times New Roman"/>
                <w:color w:val="000000"/>
                <w:szCs w:val="21"/>
                <w:woUserID w:val="1"/>
              </w:rPr>
            </w:pPr>
            <w:r>
              <w:rPr>
                <w:rFonts w:hint="eastAsia" w:ascii="Times New Roman" w:hAnsi="Times New Roman" w:cs="Times New Roman"/>
                <w:color w:val="000000"/>
                <w:szCs w:val="21"/>
              </w:rPr>
              <w:t>关晓</w:t>
            </w:r>
            <w:r>
              <w:rPr>
                <w:rFonts w:hint="default" w:ascii="Times New Roman" w:hAnsi="Times New Roman" w:cs="Times New Roman"/>
                <w:color w:val="000000"/>
                <w:szCs w:val="21"/>
                <w:woUserID w:val="1"/>
              </w:rPr>
              <w:t>惠</w:t>
            </w:r>
            <w:bookmarkStart w:id="0" w:name="_GoBack"/>
            <w:bookmarkEnd w:id="0"/>
          </w:p>
        </w:tc>
        <w:tc>
          <w:tcPr>
            <w:tcW w:w="2389" w:type="dxa"/>
            <w:gridSpan w:val="4"/>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bCs/>
                <w:szCs w:val="21"/>
              </w:rPr>
              <w:t>浙江水利水电学院</w:t>
            </w:r>
          </w:p>
        </w:tc>
        <w:tc>
          <w:tcPr>
            <w:tcW w:w="1418" w:type="dxa"/>
            <w:gridSpan w:val="3"/>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副教授</w:t>
            </w:r>
          </w:p>
        </w:tc>
        <w:tc>
          <w:tcPr>
            <w:tcW w:w="179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rPr>
            </w:pPr>
            <w:r>
              <w:rPr>
                <w:rFonts w:hint="eastAsia" w:ascii="Times New Roman" w:hAnsi="Times New Roman" w:cs="Times New Roman"/>
              </w:rPr>
              <w:t>13957191300</w:t>
            </w:r>
          </w:p>
        </w:tc>
        <w:tc>
          <w:tcPr>
            <w:tcW w:w="1369" w:type="dxa"/>
            <w:gridSpan w:val="2"/>
            <w:tcBorders>
              <w:top w:val="single" w:color="auto" w:sz="4" w:space="0"/>
              <w:left w:val="single" w:color="auto" w:sz="4" w:space="0"/>
              <w:bottom w:val="single" w:color="auto" w:sz="4" w:space="0"/>
            </w:tcBorders>
            <w:vAlign w:val="center"/>
          </w:tcPr>
          <w:p>
            <w:pPr>
              <w:wordWrap w:val="0"/>
              <w:spacing w:line="360" w:lineRule="exact"/>
              <w:jc w:val="center"/>
              <w:rPr>
                <w:rFonts w:ascii="Times New Roman" w:hAnsi="Times New Roman" w:cs="Times New Roman"/>
                <w:color w:val="000000"/>
                <w:szCs w:val="21"/>
              </w:rPr>
            </w:pPr>
          </w:p>
        </w:tc>
      </w:tr>
      <w:tr>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3" w:hRule="atLeast"/>
          <w:jc w:val="center"/>
        </w:trPr>
        <w:tc>
          <w:tcPr>
            <w:tcW w:w="850" w:type="dxa"/>
            <w:vMerge w:val="continue"/>
            <w:tcBorders>
              <w:right w:val="single" w:color="auto" w:sz="4" w:space="0"/>
            </w:tcBorders>
            <w:vAlign w:val="center"/>
          </w:tcPr>
          <w:p>
            <w:pPr>
              <w:spacing w:line="360" w:lineRule="exact"/>
              <w:jc w:val="center"/>
              <w:rPr>
                <w:rFonts w:ascii="宋体" w:hAnsi="宋体"/>
                <w:bCs/>
                <w:szCs w:val="28"/>
              </w:rPr>
            </w:pPr>
          </w:p>
        </w:tc>
        <w:tc>
          <w:tcPr>
            <w:tcW w:w="1856" w:type="dxa"/>
            <w:gridSpan w:val="2"/>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李岚</w:t>
            </w:r>
          </w:p>
        </w:tc>
        <w:tc>
          <w:tcPr>
            <w:tcW w:w="2389" w:type="dxa"/>
            <w:gridSpan w:val="4"/>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bCs/>
                <w:szCs w:val="21"/>
              </w:rPr>
              <w:t>浙江水利水电学院</w:t>
            </w:r>
          </w:p>
        </w:tc>
        <w:tc>
          <w:tcPr>
            <w:tcW w:w="1418" w:type="dxa"/>
            <w:gridSpan w:val="3"/>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副教授</w:t>
            </w:r>
          </w:p>
        </w:tc>
        <w:tc>
          <w:tcPr>
            <w:tcW w:w="179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rPr>
            </w:pPr>
            <w:r>
              <w:rPr>
                <w:rFonts w:hint="eastAsia" w:ascii="Times New Roman" w:hAnsi="Times New Roman" w:cs="Times New Roman"/>
              </w:rPr>
              <w:t>13330106260</w:t>
            </w:r>
          </w:p>
        </w:tc>
        <w:tc>
          <w:tcPr>
            <w:tcW w:w="1369" w:type="dxa"/>
            <w:gridSpan w:val="2"/>
            <w:tcBorders>
              <w:top w:val="single" w:color="auto" w:sz="4" w:space="0"/>
              <w:left w:val="single" w:color="auto" w:sz="4" w:space="0"/>
              <w:bottom w:val="single" w:color="auto" w:sz="4" w:space="0"/>
            </w:tcBorders>
            <w:vAlign w:val="center"/>
          </w:tcPr>
          <w:p>
            <w:pPr>
              <w:wordWrap w:val="0"/>
              <w:spacing w:line="360" w:lineRule="exact"/>
              <w:jc w:val="center"/>
              <w:rPr>
                <w:rFonts w:ascii="Times New Roman" w:hAnsi="Times New Roman" w:cs="Times New Roman"/>
                <w:color w:val="000000"/>
                <w:szCs w:val="21"/>
              </w:rPr>
            </w:pPr>
          </w:p>
        </w:tc>
      </w:tr>
      <w:tr>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2" w:hRule="atLeast"/>
          <w:jc w:val="center"/>
        </w:trPr>
        <w:tc>
          <w:tcPr>
            <w:tcW w:w="850" w:type="dxa"/>
            <w:vMerge w:val="continue"/>
            <w:tcBorders>
              <w:bottom w:val="single" w:color="auto" w:sz="4" w:space="0"/>
              <w:right w:val="single" w:color="auto" w:sz="4" w:space="0"/>
            </w:tcBorders>
            <w:vAlign w:val="center"/>
          </w:tcPr>
          <w:p>
            <w:pPr>
              <w:spacing w:line="360" w:lineRule="exact"/>
              <w:jc w:val="center"/>
              <w:rPr>
                <w:rFonts w:ascii="宋体" w:hAnsi="宋体"/>
                <w:bCs/>
                <w:szCs w:val="28"/>
              </w:rPr>
            </w:pPr>
          </w:p>
        </w:tc>
        <w:tc>
          <w:tcPr>
            <w:tcW w:w="1856" w:type="dxa"/>
            <w:gridSpan w:val="2"/>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王洪翠</w:t>
            </w:r>
          </w:p>
        </w:tc>
        <w:tc>
          <w:tcPr>
            <w:tcW w:w="2389" w:type="dxa"/>
            <w:gridSpan w:val="4"/>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bCs/>
                <w:szCs w:val="21"/>
              </w:rPr>
              <w:t>浙江水利水电学院</w:t>
            </w:r>
          </w:p>
        </w:tc>
        <w:tc>
          <w:tcPr>
            <w:tcW w:w="1418" w:type="dxa"/>
            <w:gridSpan w:val="3"/>
            <w:tcBorders>
              <w:top w:val="single" w:color="auto" w:sz="4" w:space="0"/>
              <w:left w:val="single" w:color="auto" w:sz="4" w:space="0"/>
              <w:bottom w:val="single" w:color="auto" w:sz="4" w:space="0"/>
              <w:right w:val="single" w:color="auto" w:sz="4" w:space="0"/>
            </w:tcBorders>
            <w:vAlign w:val="center"/>
          </w:tcPr>
          <w:p>
            <w:pPr>
              <w:wordWrap w:val="0"/>
              <w:spacing w:line="360" w:lineRule="exact"/>
              <w:jc w:val="center"/>
              <w:rPr>
                <w:rFonts w:ascii="Times New Roman" w:hAnsi="Times New Roman" w:cs="Times New Roman"/>
                <w:color w:val="000000"/>
                <w:szCs w:val="21"/>
              </w:rPr>
            </w:pPr>
            <w:r>
              <w:rPr>
                <w:rFonts w:hint="eastAsia" w:ascii="Times New Roman" w:hAnsi="Times New Roman" w:cs="Times New Roman"/>
                <w:color w:val="000000"/>
                <w:szCs w:val="21"/>
              </w:rPr>
              <w:t>副教授</w:t>
            </w:r>
          </w:p>
        </w:tc>
        <w:tc>
          <w:tcPr>
            <w:tcW w:w="179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rPr>
            </w:pPr>
            <w:r>
              <w:rPr>
                <w:rFonts w:hint="eastAsia" w:ascii="Times New Roman" w:hAnsi="Times New Roman" w:cs="Times New Roman"/>
              </w:rPr>
              <w:t>18069860059</w:t>
            </w:r>
          </w:p>
        </w:tc>
        <w:tc>
          <w:tcPr>
            <w:tcW w:w="1369" w:type="dxa"/>
            <w:gridSpan w:val="2"/>
            <w:tcBorders>
              <w:top w:val="single" w:color="auto" w:sz="4" w:space="0"/>
              <w:left w:val="single" w:color="auto" w:sz="4" w:space="0"/>
              <w:bottom w:val="single" w:color="auto" w:sz="4" w:space="0"/>
            </w:tcBorders>
            <w:vAlign w:val="center"/>
          </w:tcPr>
          <w:p>
            <w:pPr>
              <w:wordWrap w:val="0"/>
              <w:spacing w:line="360" w:lineRule="exact"/>
              <w:jc w:val="center"/>
              <w:rPr>
                <w:rFonts w:ascii="Times New Roman" w:hAnsi="Times New Roman" w:cs="Times New Roman"/>
                <w:color w:val="000000"/>
                <w:szCs w:val="21"/>
              </w:rPr>
            </w:pPr>
          </w:p>
        </w:tc>
      </w:tr>
    </w:tbl>
    <w:p>
      <w:pPr>
        <w:spacing w:afterLines="50"/>
        <w:jc w:val="center"/>
        <w:rPr>
          <w:rFonts w:ascii="宋体" w:hAnsi="宋体"/>
          <w:b/>
          <w:bCs/>
          <w:sz w:val="44"/>
        </w:rPr>
      </w:pPr>
      <w:r>
        <w:rPr>
          <w:rFonts w:ascii="宋体" w:hAnsi="宋体"/>
          <w:b/>
          <w:bCs/>
          <w:sz w:val="44"/>
        </w:rPr>
        <w:br w:type="page"/>
      </w:r>
      <w:r>
        <w:rPr>
          <w:rFonts w:hint="eastAsia" w:ascii="宋体" w:hAnsi="宋体"/>
          <w:b/>
          <w:bCs/>
          <w:sz w:val="44"/>
        </w:rPr>
        <w:t>审 批 意 见</w:t>
      </w:r>
    </w:p>
    <w:tbl>
      <w:tblPr>
        <w:tblStyle w:val="10"/>
        <w:tblW w:w="99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35" w:hRule="atLeast"/>
          <w:jc w:val="center"/>
        </w:trPr>
        <w:tc>
          <w:tcPr>
            <w:tcW w:w="9911" w:type="dxa"/>
          </w:tcPr>
          <w:p>
            <w:pPr>
              <w:spacing w:line="360" w:lineRule="auto"/>
              <w:rPr>
                <w:rFonts w:ascii="宋体" w:hAnsi="宋体"/>
                <w:b/>
                <w:bCs/>
                <w:sz w:val="24"/>
              </w:rPr>
            </w:pPr>
            <w:r>
              <w:rPr>
                <w:rFonts w:hint="eastAsia" w:ascii="宋体" w:hAnsi="宋体"/>
                <w:b/>
                <w:bCs/>
                <w:sz w:val="24"/>
              </w:rPr>
              <w:t>二级学院（部门）领导意见：</w:t>
            </w:r>
          </w:p>
          <w:p>
            <w:pPr>
              <w:spacing w:beforeLines="30" w:line="360" w:lineRule="auto"/>
              <w:ind w:firstLine="420" w:firstLineChars="200"/>
              <w:rPr>
                <w:rFonts w:ascii="宋体" w:hAnsi="宋体"/>
                <w:bCs/>
                <w:szCs w:val="21"/>
              </w:rPr>
            </w:pPr>
            <w:r>
              <w:rPr>
                <w:rFonts w:hint="eastAsia" w:ascii="宋体" w:hAnsi="宋体"/>
                <w:bCs/>
                <w:szCs w:val="21"/>
              </w:rPr>
              <w:t>该仪器设备购买后如出现运行管理、使用效益评价不合格的，同意按照学校有关规定处理。</w:t>
            </w:r>
          </w:p>
          <w:p>
            <w:pPr>
              <w:spacing w:line="360" w:lineRule="auto"/>
              <w:rPr>
                <w:rFonts w:ascii="宋体" w:hAnsi="宋体"/>
                <w:bCs/>
                <w:szCs w:val="21"/>
              </w:rPr>
            </w:pPr>
          </w:p>
          <w:p>
            <w:pPr>
              <w:spacing w:line="360" w:lineRule="auto"/>
              <w:rPr>
                <w:rFonts w:ascii="宋体" w:hAnsi="宋体"/>
                <w:bCs/>
                <w:szCs w:val="21"/>
              </w:rPr>
            </w:pPr>
          </w:p>
          <w:p>
            <w:pPr>
              <w:spacing w:line="360" w:lineRule="auto"/>
              <w:rPr>
                <w:rFonts w:ascii="宋体" w:hAnsi="宋体"/>
                <w:bCs/>
                <w:szCs w:val="21"/>
              </w:rPr>
            </w:pPr>
          </w:p>
          <w:p>
            <w:pPr>
              <w:spacing w:line="360" w:lineRule="auto"/>
              <w:rPr>
                <w:rFonts w:ascii="宋体" w:hAnsi="宋体"/>
                <w:b/>
                <w:bCs/>
                <w:color w:val="000000"/>
                <w:sz w:val="24"/>
              </w:rPr>
            </w:pPr>
            <w:r>
              <w:rPr>
                <w:rFonts w:hint="eastAsia" w:ascii="宋体" w:hAnsi="宋体"/>
                <w:bCs/>
                <w:sz w:val="24"/>
              </w:rPr>
              <w:t xml:space="preserve">负责人签字：                    单位公章：                </w:t>
            </w:r>
            <w:r>
              <w:rPr>
                <w:rFonts w:hint="eastAsia" w:ascii="宋体" w:hAnsi="宋体"/>
                <w:color w:val="000000"/>
                <w:sz w:val="24"/>
              </w:rPr>
              <w:t>日期：</w:t>
            </w:r>
            <w:r>
              <w:rPr>
                <w:rFonts w:hint="eastAsia" w:ascii="宋体" w:hAnsi="宋体"/>
                <w:bCs/>
                <w:sz w:val="24"/>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7" w:hRule="atLeast"/>
          <w:jc w:val="center"/>
        </w:trPr>
        <w:tc>
          <w:tcPr>
            <w:tcW w:w="9911" w:type="dxa"/>
          </w:tcPr>
          <w:p>
            <w:pPr>
              <w:rPr>
                <w:rFonts w:ascii="宋体" w:hAnsi="宋体"/>
                <w:b/>
                <w:bCs/>
                <w:sz w:val="24"/>
              </w:rPr>
            </w:pPr>
            <w:r>
              <w:rPr>
                <w:rFonts w:hint="eastAsia" w:ascii="宋体" w:hAnsi="宋体"/>
                <w:b/>
                <w:bCs/>
                <w:sz w:val="24"/>
              </w:rPr>
              <w:t>实验室与设备管理处（采购</w:t>
            </w:r>
            <w:r>
              <w:rPr>
                <w:rFonts w:ascii="宋体" w:hAnsi="宋体"/>
                <w:b/>
                <w:bCs/>
                <w:sz w:val="24"/>
              </w:rPr>
              <w:t>中心</w:t>
            </w:r>
            <w:r>
              <w:rPr>
                <w:rFonts w:hint="eastAsia" w:ascii="宋体" w:hAnsi="宋体"/>
                <w:b/>
                <w:bCs/>
                <w:sz w:val="24"/>
              </w:rPr>
              <w:t>）意见:</w:t>
            </w:r>
          </w:p>
          <w:p>
            <w:pPr>
              <w:spacing w:line="300" w:lineRule="exact"/>
              <w:rPr>
                <w:rFonts w:ascii="宋体" w:hAnsi="宋体"/>
              </w:rPr>
            </w:pPr>
            <w:r>
              <w:rPr>
                <w:rFonts w:hint="eastAsia" w:ascii="宋体" w:hAnsi="宋体"/>
              </w:rPr>
              <w:t xml:space="preserve">                                  </w:t>
            </w:r>
          </w:p>
          <w:p>
            <w:pPr>
              <w:spacing w:line="360" w:lineRule="auto"/>
              <w:rPr>
                <w:rFonts w:ascii="宋体" w:hAnsi="宋体"/>
                <w:bCs/>
                <w:szCs w:val="21"/>
              </w:rPr>
            </w:pPr>
          </w:p>
          <w:p>
            <w:pPr>
              <w:spacing w:line="360" w:lineRule="auto"/>
              <w:rPr>
                <w:rFonts w:ascii="宋体" w:hAnsi="宋体"/>
                <w:bCs/>
                <w:szCs w:val="21"/>
              </w:rPr>
            </w:pPr>
          </w:p>
          <w:p>
            <w:pPr>
              <w:spacing w:line="360" w:lineRule="auto"/>
              <w:rPr>
                <w:rFonts w:ascii="宋体" w:hAnsi="宋体"/>
                <w:bCs/>
                <w:szCs w:val="21"/>
              </w:rPr>
            </w:pPr>
          </w:p>
          <w:p>
            <w:pPr>
              <w:spacing w:line="360" w:lineRule="auto"/>
              <w:rPr>
                <w:rFonts w:ascii="宋体" w:hAnsi="宋体"/>
                <w:bCs/>
                <w:szCs w:val="21"/>
              </w:rPr>
            </w:pPr>
          </w:p>
          <w:p>
            <w:pPr>
              <w:spacing w:line="360" w:lineRule="auto"/>
              <w:rPr>
                <w:rFonts w:ascii="宋体" w:hAnsi="宋体"/>
                <w:bCs/>
                <w:szCs w:val="21"/>
              </w:rPr>
            </w:pPr>
          </w:p>
          <w:p>
            <w:pPr>
              <w:spacing w:line="360" w:lineRule="auto"/>
              <w:rPr>
                <w:rFonts w:ascii="宋体" w:hAnsi="宋体"/>
                <w:bCs/>
                <w:szCs w:val="21"/>
              </w:rPr>
            </w:pPr>
          </w:p>
          <w:p>
            <w:pPr>
              <w:spacing w:line="300" w:lineRule="exact"/>
              <w:rPr>
                <w:rFonts w:ascii="宋体" w:hAnsi="宋体"/>
              </w:rPr>
            </w:pPr>
          </w:p>
          <w:p>
            <w:pPr>
              <w:spacing w:line="300" w:lineRule="exact"/>
              <w:rPr>
                <w:rFonts w:ascii="宋体" w:hAnsi="宋体"/>
              </w:rPr>
            </w:pPr>
          </w:p>
          <w:p>
            <w:pPr>
              <w:spacing w:line="300" w:lineRule="exact"/>
              <w:ind w:firstLine="3675" w:firstLineChars="1750"/>
              <w:rPr>
                <w:rFonts w:ascii="宋体" w:hAnsi="宋体"/>
              </w:rPr>
            </w:pPr>
          </w:p>
          <w:p>
            <w:pPr>
              <w:spacing w:line="360" w:lineRule="auto"/>
              <w:ind w:right="120"/>
              <w:jc w:val="right"/>
              <w:rPr>
                <w:rFonts w:ascii="宋体" w:hAnsi="宋体"/>
                <w:b/>
                <w:bCs/>
                <w:sz w:val="24"/>
              </w:rPr>
            </w:pPr>
            <w:r>
              <w:rPr>
                <w:rFonts w:hint="eastAsia" w:ascii="宋体" w:hAnsi="宋体"/>
                <w:bCs/>
                <w:sz w:val="24"/>
              </w:rPr>
              <w:t xml:space="preserve">负责人签字：                    单位公章：              </w:t>
            </w:r>
            <w:r>
              <w:rPr>
                <w:rFonts w:hint="eastAsia" w:ascii="宋体" w:hAnsi="宋体"/>
                <w:color w:val="000000"/>
                <w:sz w:val="24"/>
              </w:rPr>
              <w:t>日期：</w:t>
            </w:r>
            <w:r>
              <w:rPr>
                <w:rFonts w:hint="eastAsia" w:ascii="宋体" w:hAnsi="宋体"/>
                <w:bCs/>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8" w:hRule="atLeast"/>
          <w:jc w:val="center"/>
        </w:trPr>
        <w:tc>
          <w:tcPr>
            <w:tcW w:w="9911" w:type="dxa"/>
          </w:tcPr>
          <w:p>
            <w:pPr>
              <w:rPr>
                <w:rFonts w:ascii="宋体" w:hAnsi="宋体"/>
                <w:b/>
                <w:bCs/>
                <w:sz w:val="24"/>
              </w:rPr>
            </w:pPr>
            <w:r>
              <w:rPr>
                <w:rFonts w:hint="eastAsia" w:ascii="宋体" w:hAnsi="宋体"/>
                <w:b/>
                <w:bCs/>
                <w:sz w:val="24"/>
              </w:rPr>
              <w:t>校</w:t>
            </w:r>
            <w:r>
              <w:rPr>
                <w:rFonts w:ascii="宋体" w:hAnsi="宋体"/>
                <w:b/>
                <w:bCs/>
                <w:sz w:val="24"/>
              </w:rPr>
              <w:t>领导审批意见</w:t>
            </w:r>
          </w:p>
          <w:p>
            <w:pPr>
              <w:spacing w:line="360" w:lineRule="auto"/>
              <w:rPr>
                <w:rFonts w:ascii="宋体" w:hAnsi="宋体"/>
                <w:bCs/>
                <w:szCs w:val="21"/>
              </w:rPr>
            </w:pPr>
          </w:p>
          <w:p>
            <w:pPr>
              <w:spacing w:line="360" w:lineRule="auto"/>
              <w:rPr>
                <w:rFonts w:ascii="宋体" w:hAnsi="宋体"/>
                <w:bCs/>
                <w:szCs w:val="21"/>
              </w:rPr>
            </w:pPr>
          </w:p>
          <w:p>
            <w:pPr>
              <w:spacing w:line="360" w:lineRule="auto"/>
              <w:rPr>
                <w:rFonts w:ascii="宋体" w:hAnsi="宋体"/>
                <w:bCs/>
                <w:szCs w:val="21"/>
              </w:rPr>
            </w:pPr>
          </w:p>
          <w:p>
            <w:pPr>
              <w:spacing w:line="360" w:lineRule="auto"/>
              <w:rPr>
                <w:rFonts w:ascii="宋体" w:hAnsi="宋体"/>
                <w:bCs/>
                <w:szCs w:val="21"/>
              </w:rPr>
            </w:pPr>
          </w:p>
          <w:p>
            <w:pPr>
              <w:spacing w:line="360" w:lineRule="auto"/>
              <w:rPr>
                <w:rFonts w:ascii="宋体" w:hAnsi="宋体"/>
                <w:bCs/>
                <w:szCs w:val="21"/>
              </w:rPr>
            </w:pPr>
          </w:p>
          <w:p>
            <w:pPr>
              <w:spacing w:line="360" w:lineRule="auto"/>
              <w:rPr>
                <w:rFonts w:ascii="宋体" w:hAnsi="宋体"/>
                <w:bCs/>
                <w:szCs w:val="21"/>
              </w:rPr>
            </w:pPr>
          </w:p>
          <w:p>
            <w:pPr>
              <w:spacing w:line="360" w:lineRule="auto"/>
              <w:rPr>
                <w:rFonts w:ascii="宋体" w:hAnsi="宋体"/>
                <w:bCs/>
                <w:szCs w:val="21"/>
              </w:rPr>
            </w:pPr>
          </w:p>
          <w:p>
            <w:pPr>
              <w:spacing w:line="360" w:lineRule="auto"/>
              <w:rPr>
                <w:rFonts w:ascii="宋体" w:hAnsi="宋体"/>
                <w:bCs/>
                <w:szCs w:val="21"/>
              </w:rPr>
            </w:pPr>
          </w:p>
          <w:p>
            <w:pPr>
              <w:spacing w:line="360" w:lineRule="auto"/>
              <w:rPr>
                <w:rFonts w:ascii="宋体" w:hAnsi="宋体"/>
                <w:bCs/>
                <w:szCs w:val="21"/>
              </w:rPr>
            </w:pPr>
          </w:p>
          <w:p>
            <w:pPr>
              <w:spacing w:beforeLines="50" w:afterLines="50" w:line="300" w:lineRule="exact"/>
              <w:rPr>
                <w:rFonts w:ascii="宋体" w:hAnsi="宋体"/>
                <w:color w:val="000000"/>
                <w:sz w:val="24"/>
              </w:rPr>
            </w:pPr>
            <w:r>
              <w:rPr>
                <w:rFonts w:hint="eastAsia" w:ascii="宋体" w:hAnsi="宋体"/>
                <w:bCs/>
                <w:sz w:val="24"/>
              </w:rPr>
              <w:t>负责人签字：</w:t>
            </w:r>
            <w:r>
              <w:rPr>
                <w:rFonts w:ascii="宋体" w:hAnsi="宋体"/>
                <w:color w:val="000000"/>
                <w:sz w:val="24"/>
              </w:rPr>
              <w:t xml:space="preserve">                                            </w:t>
            </w:r>
            <w:r>
              <w:rPr>
                <w:rFonts w:hint="eastAsia" w:ascii="宋体" w:hAnsi="宋体"/>
                <w:color w:val="000000"/>
                <w:sz w:val="24"/>
              </w:rPr>
              <w:t>日期</w:t>
            </w:r>
            <w:r>
              <w:rPr>
                <w:rFonts w:ascii="宋体" w:hAnsi="宋体"/>
                <w:color w:val="000000"/>
                <w:sz w:val="24"/>
              </w:rPr>
              <w:t>：</w:t>
            </w:r>
            <w:r>
              <w:rPr>
                <w:rFonts w:hint="eastAsia" w:ascii="宋体" w:hAnsi="宋体"/>
                <w:color w:val="000000"/>
                <w:sz w:val="24"/>
              </w:rPr>
              <w:t xml:space="preserve">  </w:t>
            </w:r>
            <w:r>
              <w:rPr>
                <w:rFonts w:ascii="宋体" w:hAnsi="宋体"/>
                <w:color w:val="000000"/>
                <w:sz w:val="24"/>
              </w:rPr>
              <w:t xml:space="preserve">   </w:t>
            </w:r>
            <w:r>
              <w:rPr>
                <w:rFonts w:hint="eastAsia" w:ascii="宋体" w:hAnsi="宋体"/>
                <w:color w:val="000000"/>
                <w:sz w:val="24"/>
              </w:rPr>
              <w:t xml:space="preserve">年   </w:t>
            </w:r>
            <w:r>
              <w:rPr>
                <w:rFonts w:ascii="宋体" w:hAnsi="宋体"/>
                <w:color w:val="000000"/>
                <w:sz w:val="24"/>
              </w:rPr>
              <w:t>月</w:t>
            </w:r>
            <w:r>
              <w:rPr>
                <w:rFonts w:hint="eastAsia" w:ascii="宋体" w:hAnsi="宋体"/>
                <w:color w:val="000000"/>
                <w:sz w:val="24"/>
              </w:rPr>
              <w:t xml:space="preserve">   </w:t>
            </w:r>
            <w:r>
              <w:rPr>
                <w:rFonts w:ascii="宋体" w:hAnsi="宋体"/>
                <w:color w:val="000000"/>
                <w:sz w:val="24"/>
              </w:rPr>
              <w:t>日</w:t>
            </w:r>
          </w:p>
        </w:tc>
      </w:tr>
    </w:tbl>
    <w:p>
      <w:pPr>
        <w:rPr>
          <w:sz w:val="10"/>
          <w:szCs w:val="10"/>
        </w:rPr>
      </w:pPr>
    </w:p>
    <w:sectPr>
      <w:headerReference r:id="rId8" w:type="first"/>
      <w:footerReference r:id="rId10" w:type="first"/>
      <w:headerReference r:id="rId6" w:type="default"/>
      <w:footerReference r:id="rId9" w:type="default"/>
      <w:headerReference r:id="rId7" w:type="even"/>
      <w:pgSz w:w="11907" w:h="16840"/>
      <w:pgMar w:top="1440" w:right="1021" w:bottom="1077" w:left="1191"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00000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楷体_GB2312">
    <w:altName w:val="汉仪楷体KW"/>
    <w:panose1 w:val="00000000000000000000"/>
    <w:charset w:val="00"/>
    <w:family w:val="modern"/>
    <w:pitch w:val="default"/>
    <w:sig w:usb0="00000000" w:usb1="00000000" w:usb2="00000010" w:usb3="00000000" w:csb0="00040000" w:csb1="00000000"/>
  </w:font>
  <w:font w:name="仿宋">
    <w:altName w:val="汉仪仿宋KW"/>
    <w:panose1 w:val="02010609060101010101"/>
    <w:charset w:val="86"/>
    <w:family w:val="modern"/>
    <w:pitch w:val="default"/>
    <w:sig w:usb0="00000000" w:usb1="00000000" w:usb2="00000016" w:usb3="00000000" w:csb0="00040001" w:csb1="00000000"/>
  </w:font>
  <w:font w:name="仿宋_GB2312">
    <w:altName w:val="汉仪仿宋KW"/>
    <w:panose1 w:val="00000000000000000000"/>
    <w:charset w:val="00"/>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汉仪仿宋KW">
    <w:panose1 w:val="00020600040101010101"/>
    <w:charset w:val="86"/>
    <w:family w:val="auto"/>
    <w:pitch w:val="default"/>
    <w:sig w:usb0="A00002BF" w:usb1="18EF7CFA" w:usb2="00000016" w:usb3="00000000" w:csb0="00040000" w:csb1="00000000"/>
  </w:font>
  <w:font w:name="汉仪楷体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sz w:val="24"/>
      </w:rPr>
    </w:pPr>
    <w:r>
      <w:rPr>
        <w:rStyle w:val="12"/>
        <w:rFonts w:hint="eastAsia"/>
        <w:sz w:val="24"/>
      </w:rPr>
      <w:t>第</w:t>
    </w:r>
    <w:r>
      <w:rPr>
        <w:rStyle w:val="12"/>
        <w:sz w:val="24"/>
      </w:rPr>
      <w:t>3</w:t>
    </w:r>
    <w:r>
      <w:rPr>
        <w:rStyle w:val="12"/>
        <w:rFonts w:hint="eastAsia"/>
        <w:sz w:val="24"/>
      </w:rPr>
      <w:t>页</w:t>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E0YzczZGVlMmIwODczYmUxZTJkNjMwNDMzMWQ3ZDkifQ=="/>
  </w:docVars>
  <w:rsids>
    <w:rsidRoot w:val="00E411A1"/>
    <w:rsid w:val="00002341"/>
    <w:rsid w:val="000034AC"/>
    <w:rsid w:val="000036D4"/>
    <w:rsid w:val="00005E4E"/>
    <w:rsid w:val="00006ABC"/>
    <w:rsid w:val="00016853"/>
    <w:rsid w:val="00021ABB"/>
    <w:rsid w:val="000220DA"/>
    <w:rsid w:val="000240B4"/>
    <w:rsid w:val="000257E1"/>
    <w:rsid w:val="000261C3"/>
    <w:rsid w:val="00027ED8"/>
    <w:rsid w:val="00032B2C"/>
    <w:rsid w:val="00032FA5"/>
    <w:rsid w:val="00040F3E"/>
    <w:rsid w:val="000418B7"/>
    <w:rsid w:val="000455CF"/>
    <w:rsid w:val="0004690D"/>
    <w:rsid w:val="0005062A"/>
    <w:rsid w:val="0005235D"/>
    <w:rsid w:val="00064656"/>
    <w:rsid w:val="0007094A"/>
    <w:rsid w:val="00070D1B"/>
    <w:rsid w:val="000878F3"/>
    <w:rsid w:val="000901EF"/>
    <w:rsid w:val="000919C0"/>
    <w:rsid w:val="00091CF1"/>
    <w:rsid w:val="00091F92"/>
    <w:rsid w:val="00095C73"/>
    <w:rsid w:val="00096DAA"/>
    <w:rsid w:val="000A319A"/>
    <w:rsid w:val="000A3ED6"/>
    <w:rsid w:val="000A7AC0"/>
    <w:rsid w:val="000B03E3"/>
    <w:rsid w:val="000B5C3C"/>
    <w:rsid w:val="000C5F18"/>
    <w:rsid w:val="000E08CC"/>
    <w:rsid w:val="000E2DA0"/>
    <w:rsid w:val="000E7D46"/>
    <w:rsid w:val="000F4134"/>
    <w:rsid w:val="001006CA"/>
    <w:rsid w:val="001069D9"/>
    <w:rsid w:val="0011153D"/>
    <w:rsid w:val="0012328E"/>
    <w:rsid w:val="001273F7"/>
    <w:rsid w:val="00130AE7"/>
    <w:rsid w:val="00131F1A"/>
    <w:rsid w:val="00145811"/>
    <w:rsid w:val="001463F7"/>
    <w:rsid w:val="001542CE"/>
    <w:rsid w:val="00157089"/>
    <w:rsid w:val="00161AF1"/>
    <w:rsid w:val="0016592F"/>
    <w:rsid w:val="00166415"/>
    <w:rsid w:val="00171F80"/>
    <w:rsid w:val="00182305"/>
    <w:rsid w:val="00184F1E"/>
    <w:rsid w:val="00186C1B"/>
    <w:rsid w:val="00191BB8"/>
    <w:rsid w:val="001951A3"/>
    <w:rsid w:val="001A1F2D"/>
    <w:rsid w:val="001B733A"/>
    <w:rsid w:val="001C4501"/>
    <w:rsid w:val="001D02D2"/>
    <w:rsid w:val="001D12DF"/>
    <w:rsid w:val="001D17D0"/>
    <w:rsid w:val="001D50E6"/>
    <w:rsid w:val="001D5DD6"/>
    <w:rsid w:val="001D7DCC"/>
    <w:rsid w:val="001E6781"/>
    <w:rsid w:val="001F026F"/>
    <w:rsid w:val="001F23E3"/>
    <w:rsid w:val="001F3449"/>
    <w:rsid w:val="001F7FF7"/>
    <w:rsid w:val="00202223"/>
    <w:rsid w:val="00203E9B"/>
    <w:rsid w:val="00210B4D"/>
    <w:rsid w:val="0021447B"/>
    <w:rsid w:val="00215FC3"/>
    <w:rsid w:val="00224EB4"/>
    <w:rsid w:val="002255D8"/>
    <w:rsid w:val="002274A5"/>
    <w:rsid w:val="00227E9E"/>
    <w:rsid w:val="00232C3F"/>
    <w:rsid w:val="00235A06"/>
    <w:rsid w:val="0025621D"/>
    <w:rsid w:val="0026268A"/>
    <w:rsid w:val="00264998"/>
    <w:rsid w:val="002712BF"/>
    <w:rsid w:val="002823C6"/>
    <w:rsid w:val="00292286"/>
    <w:rsid w:val="0029340A"/>
    <w:rsid w:val="002A07FC"/>
    <w:rsid w:val="002A5515"/>
    <w:rsid w:val="002A714B"/>
    <w:rsid w:val="002B270F"/>
    <w:rsid w:val="002B728E"/>
    <w:rsid w:val="002C074B"/>
    <w:rsid w:val="002C79B5"/>
    <w:rsid w:val="002D2F93"/>
    <w:rsid w:val="002D73D1"/>
    <w:rsid w:val="002F601B"/>
    <w:rsid w:val="002F798B"/>
    <w:rsid w:val="003064E7"/>
    <w:rsid w:val="003214E3"/>
    <w:rsid w:val="00321FA9"/>
    <w:rsid w:val="00324719"/>
    <w:rsid w:val="003375FE"/>
    <w:rsid w:val="0034111F"/>
    <w:rsid w:val="00341D2B"/>
    <w:rsid w:val="003442B1"/>
    <w:rsid w:val="003626D7"/>
    <w:rsid w:val="00364170"/>
    <w:rsid w:val="003663DE"/>
    <w:rsid w:val="00372A73"/>
    <w:rsid w:val="00381B8C"/>
    <w:rsid w:val="003912C7"/>
    <w:rsid w:val="00396B5F"/>
    <w:rsid w:val="003A7F52"/>
    <w:rsid w:val="003B6387"/>
    <w:rsid w:val="003C00C9"/>
    <w:rsid w:val="003C1B94"/>
    <w:rsid w:val="003C1BA8"/>
    <w:rsid w:val="003D09B5"/>
    <w:rsid w:val="003D5851"/>
    <w:rsid w:val="003E1F65"/>
    <w:rsid w:val="003E32B7"/>
    <w:rsid w:val="003E38A1"/>
    <w:rsid w:val="003E3E64"/>
    <w:rsid w:val="003F0BFA"/>
    <w:rsid w:val="003F62D2"/>
    <w:rsid w:val="004045F5"/>
    <w:rsid w:val="00406052"/>
    <w:rsid w:val="0043461A"/>
    <w:rsid w:val="004351B4"/>
    <w:rsid w:val="0045023A"/>
    <w:rsid w:val="00455A59"/>
    <w:rsid w:val="004619E6"/>
    <w:rsid w:val="00462198"/>
    <w:rsid w:val="004632EE"/>
    <w:rsid w:val="0046613D"/>
    <w:rsid w:val="00493515"/>
    <w:rsid w:val="004B72BC"/>
    <w:rsid w:val="004C66E8"/>
    <w:rsid w:val="004C6B43"/>
    <w:rsid w:val="004D18EE"/>
    <w:rsid w:val="004E0428"/>
    <w:rsid w:val="004F46E4"/>
    <w:rsid w:val="004F6D96"/>
    <w:rsid w:val="00505C87"/>
    <w:rsid w:val="00520954"/>
    <w:rsid w:val="00524857"/>
    <w:rsid w:val="0052528E"/>
    <w:rsid w:val="00527CFE"/>
    <w:rsid w:val="005365D3"/>
    <w:rsid w:val="0055064D"/>
    <w:rsid w:val="005539EC"/>
    <w:rsid w:val="00554292"/>
    <w:rsid w:val="005629FD"/>
    <w:rsid w:val="005678BE"/>
    <w:rsid w:val="00570D05"/>
    <w:rsid w:val="00573CE0"/>
    <w:rsid w:val="0057418D"/>
    <w:rsid w:val="00575F84"/>
    <w:rsid w:val="00576B5B"/>
    <w:rsid w:val="00584EB9"/>
    <w:rsid w:val="00595534"/>
    <w:rsid w:val="005A0394"/>
    <w:rsid w:val="005A4F5D"/>
    <w:rsid w:val="005B1917"/>
    <w:rsid w:val="005B7EB8"/>
    <w:rsid w:val="005D1586"/>
    <w:rsid w:val="005D2223"/>
    <w:rsid w:val="005D2FE3"/>
    <w:rsid w:val="005E30EA"/>
    <w:rsid w:val="005E485C"/>
    <w:rsid w:val="005E58CA"/>
    <w:rsid w:val="005F0379"/>
    <w:rsid w:val="005F427E"/>
    <w:rsid w:val="00626628"/>
    <w:rsid w:val="00632EBF"/>
    <w:rsid w:val="00654D85"/>
    <w:rsid w:val="00655AFD"/>
    <w:rsid w:val="00657253"/>
    <w:rsid w:val="006575FA"/>
    <w:rsid w:val="006678FC"/>
    <w:rsid w:val="006716B8"/>
    <w:rsid w:val="0068599C"/>
    <w:rsid w:val="006917AD"/>
    <w:rsid w:val="00696F10"/>
    <w:rsid w:val="00697493"/>
    <w:rsid w:val="006976A3"/>
    <w:rsid w:val="006A47AB"/>
    <w:rsid w:val="006A65F8"/>
    <w:rsid w:val="006B09EF"/>
    <w:rsid w:val="006B3230"/>
    <w:rsid w:val="006B6F45"/>
    <w:rsid w:val="006D44B4"/>
    <w:rsid w:val="006D59FB"/>
    <w:rsid w:val="006E1E39"/>
    <w:rsid w:val="006E26EC"/>
    <w:rsid w:val="006F0F71"/>
    <w:rsid w:val="00711D6A"/>
    <w:rsid w:val="0071300C"/>
    <w:rsid w:val="007233F2"/>
    <w:rsid w:val="00733101"/>
    <w:rsid w:val="00747161"/>
    <w:rsid w:val="0074792C"/>
    <w:rsid w:val="00756714"/>
    <w:rsid w:val="00760DBE"/>
    <w:rsid w:val="00765BAF"/>
    <w:rsid w:val="00765BFB"/>
    <w:rsid w:val="00773A36"/>
    <w:rsid w:val="00775CAA"/>
    <w:rsid w:val="00787C4B"/>
    <w:rsid w:val="00792BED"/>
    <w:rsid w:val="007965AB"/>
    <w:rsid w:val="007A34A1"/>
    <w:rsid w:val="007C7607"/>
    <w:rsid w:val="00803C31"/>
    <w:rsid w:val="00804523"/>
    <w:rsid w:val="00806B25"/>
    <w:rsid w:val="00813DBB"/>
    <w:rsid w:val="008157B3"/>
    <w:rsid w:val="00834745"/>
    <w:rsid w:val="00835277"/>
    <w:rsid w:val="00851AF9"/>
    <w:rsid w:val="008531B5"/>
    <w:rsid w:val="008609A4"/>
    <w:rsid w:val="00861596"/>
    <w:rsid w:val="0087192E"/>
    <w:rsid w:val="00873591"/>
    <w:rsid w:val="00882A09"/>
    <w:rsid w:val="00895A05"/>
    <w:rsid w:val="008971F1"/>
    <w:rsid w:val="008A4F29"/>
    <w:rsid w:val="008A51A3"/>
    <w:rsid w:val="008A7FF1"/>
    <w:rsid w:val="008B2D97"/>
    <w:rsid w:val="008D054E"/>
    <w:rsid w:val="008D0C75"/>
    <w:rsid w:val="008D740D"/>
    <w:rsid w:val="008E32EE"/>
    <w:rsid w:val="0090607F"/>
    <w:rsid w:val="0091775C"/>
    <w:rsid w:val="00917889"/>
    <w:rsid w:val="009236D2"/>
    <w:rsid w:val="00925014"/>
    <w:rsid w:val="00937947"/>
    <w:rsid w:val="0094080E"/>
    <w:rsid w:val="00942ACF"/>
    <w:rsid w:val="009461AF"/>
    <w:rsid w:val="009518D9"/>
    <w:rsid w:val="00951EB1"/>
    <w:rsid w:val="00953173"/>
    <w:rsid w:val="00974707"/>
    <w:rsid w:val="00981E14"/>
    <w:rsid w:val="0098307C"/>
    <w:rsid w:val="00990309"/>
    <w:rsid w:val="009914FA"/>
    <w:rsid w:val="00992DF4"/>
    <w:rsid w:val="009955DA"/>
    <w:rsid w:val="00996E15"/>
    <w:rsid w:val="009B1E4D"/>
    <w:rsid w:val="009B430D"/>
    <w:rsid w:val="009B7F3B"/>
    <w:rsid w:val="009D204D"/>
    <w:rsid w:val="009D3690"/>
    <w:rsid w:val="009D4150"/>
    <w:rsid w:val="009E6457"/>
    <w:rsid w:val="009F05A1"/>
    <w:rsid w:val="00A25FE3"/>
    <w:rsid w:val="00A3308F"/>
    <w:rsid w:val="00A50CE5"/>
    <w:rsid w:val="00A51C0B"/>
    <w:rsid w:val="00A52F61"/>
    <w:rsid w:val="00A537E7"/>
    <w:rsid w:val="00A5547B"/>
    <w:rsid w:val="00A55633"/>
    <w:rsid w:val="00A56DBA"/>
    <w:rsid w:val="00A7022F"/>
    <w:rsid w:val="00A70C1A"/>
    <w:rsid w:val="00A7316F"/>
    <w:rsid w:val="00A74F44"/>
    <w:rsid w:val="00A756ED"/>
    <w:rsid w:val="00A85685"/>
    <w:rsid w:val="00A9593E"/>
    <w:rsid w:val="00A95C64"/>
    <w:rsid w:val="00AA4354"/>
    <w:rsid w:val="00AB58AB"/>
    <w:rsid w:val="00AC27DC"/>
    <w:rsid w:val="00AC2F2B"/>
    <w:rsid w:val="00AD140A"/>
    <w:rsid w:val="00AE090D"/>
    <w:rsid w:val="00AE712A"/>
    <w:rsid w:val="00AF4C96"/>
    <w:rsid w:val="00B048C4"/>
    <w:rsid w:val="00B16133"/>
    <w:rsid w:val="00B36860"/>
    <w:rsid w:val="00B50425"/>
    <w:rsid w:val="00B57870"/>
    <w:rsid w:val="00B578C9"/>
    <w:rsid w:val="00B64131"/>
    <w:rsid w:val="00B6490C"/>
    <w:rsid w:val="00B7575D"/>
    <w:rsid w:val="00B82DCA"/>
    <w:rsid w:val="00B85014"/>
    <w:rsid w:val="00B85DD1"/>
    <w:rsid w:val="00B914F7"/>
    <w:rsid w:val="00B969B7"/>
    <w:rsid w:val="00BA3D0B"/>
    <w:rsid w:val="00BA45F9"/>
    <w:rsid w:val="00BA6256"/>
    <w:rsid w:val="00BA787D"/>
    <w:rsid w:val="00BB1727"/>
    <w:rsid w:val="00BB1E2E"/>
    <w:rsid w:val="00BB3E89"/>
    <w:rsid w:val="00BB45CA"/>
    <w:rsid w:val="00BD0401"/>
    <w:rsid w:val="00BD0E3F"/>
    <w:rsid w:val="00BD6BB3"/>
    <w:rsid w:val="00BE1398"/>
    <w:rsid w:val="00BF0D84"/>
    <w:rsid w:val="00BF0FEF"/>
    <w:rsid w:val="00BF50DE"/>
    <w:rsid w:val="00C0151E"/>
    <w:rsid w:val="00C04E96"/>
    <w:rsid w:val="00C058A5"/>
    <w:rsid w:val="00C113F8"/>
    <w:rsid w:val="00C1296F"/>
    <w:rsid w:val="00C22354"/>
    <w:rsid w:val="00C22F7A"/>
    <w:rsid w:val="00C266B7"/>
    <w:rsid w:val="00C36F6A"/>
    <w:rsid w:val="00C36F7A"/>
    <w:rsid w:val="00C43132"/>
    <w:rsid w:val="00C4387E"/>
    <w:rsid w:val="00C449FE"/>
    <w:rsid w:val="00C5321E"/>
    <w:rsid w:val="00C6476F"/>
    <w:rsid w:val="00C64930"/>
    <w:rsid w:val="00C71DEF"/>
    <w:rsid w:val="00C737FC"/>
    <w:rsid w:val="00C77077"/>
    <w:rsid w:val="00C77C36"/>
    <w:rsid w:val="00C92993"/>
    <w:rsid w:val="00C945D3"/>
    <w:rsid w:val="00CA291E"/>
    <w:rsid w:val="00CA4B01"/>
    <w:rsid w:val="00CA5C7E"/>
    <w:rsid w:val="00CB04D0"/>
    <w:rsid w:val="00CB06D0"/>
    <w:rsid w:val="00CC2A62"/>
    <w:rsid w:val="00CC3296"/>
    <w:rsid w:val="00CD4A69"/>
    <w:rsid w:val="00CD7196"/>
    <w:rsid w:val="00CD7222"/>
    <w:rsid w:val="00CD7321"/>
    <w:rsid w:val="00CE3E96"/>
    <w:rsid w:val="00CE78B3"/>
    <w:rsid w:val="00CF63DA"/>
    <w:rsid w:val="00D07468"/>
    <w:rsid w:val="00D1092A"/>
    <w:rsid w:val="00D133D3"/>
    <w:rsid w:val="00D20579"/>
    <w:rsid w:val="00D255F2"/>
    <w:rsid w:val="00D34C54"/>
    <w:rsid w:val="00D362E5"/>
    <w:rsid w:val="00D40C9B"/>
    <w:rsid w:val="00D519BE"/>
    <w:rsid w:val="00D546F1"/>
    <w:rsid w:val="00D64CC7"/>
    <w:rsid w:val="00D673B8"/>
    <w:rsid w:val="00D70184"/>
    <w:rsid w:val="00D73F3D"/>
    <w:rsid w:val="00D84C38"/>
    <w:rsid w:val="00DA3930"/>
    <w:rsid w:val="00DA3A88"/>
    <w:rsid w:val="00DB174E"/>
    <w:rsid w:val="00DB3DD4"/>
    <w:rsid w:val="00DD4F61"/>
    <w:rsid w:val="00DE1F89"/>
    <w:rsid w:val="00DE2E14"/>
    <w:rsid w:val="00DE3BD6"/>
    <w:rsid w:val="00DE670C"/>
    <w:rsid w:val="00E05C3C"/>
    <w:rsid w:val="00E26E4F"/>
    <w:rsid w:val="00E30692"/>
    <w:rsid w:val="00E321A9"/>
    <w:rsid w:val="00E37F19"/>
    <w:rsid w:val="00E4107A"/>
    <w:rsid w:val="00E411A1"/>
    <w:rsid w:val="00E441C6"/>
    <w:rsid w:val="00E6290F"/>
    <w:rsid w:val="00E62F5D"/>
    <w:rsid w:val="00E73F11"/>
    <w:rsid w:val="00E80FED"/>
    <w:rsid w:val="00E913B2"/>
    <w:rsid w:val="00E9213C"/>
    <w:rsid w:val="00E947A0"/>
    <w:rsid w:val="00E94A71"/>
    <w:rsid w:val="00EA0A86"/>
    <w:rsid w:val="00EA181B"/>
    <w:rsid w:val="00EA3DE5"/>
    <w:rsid w:val="00EA7D1A"/>
    <w:rsid w:val="00EC0461"/>
    <w:rsid w:val="00EC65CF"/>
    <w:rsid w:val="00EC6A20"/>
    <w:rsid w:val="00EC79C8"/>
    <w:rsid w:val="00ED1576"/>
    <w:rsid w:val="00ED26E2"/>
    <w:rsid w:val="00ED7C16"/>
    <w:rsid w:val="00EE1DA6"/>
    <w:rsid w:val="00EF7093"/>
    <w:rsid w:val="00F00BD5"/>
    <w:rsid w:val="00F056FB"/>
    <w:rsid w:val="00F1347B"/>
    <w:rsid w:val="00F13B40"/>
    <w:rsid w:val="00F15BA7"/>
    <w:rsid w:val="00F17DEF"/>
    <w:rsid w:val="00F22A2E"/>
    <w:rsid w:val="00F26655"/>
    <w:rsid w:val="00F3298A"/>
    <w:rsid w:val="00F331C6"/>
    <w:rsid w:val="00F44389"/>
    <w:rsid w:val="00F53576"/>
    <w:rsid w:val="00F576CF"/>
    <w:rsid w:val="00F608C6"/>
    <w:rsid w:val="00F608F7"/>
    <w:rsid w:val="00F63728"/>
    <w:rsid w:val="00F75A2C"/>
    <w:rsid w:val="00F75DF7"/>
    <w:rsid w:val="00F76D13"/>
    <w:rsid w:val="00F8574D"/>
    <w:rsid w:val="00F86447"/>
    <w:rsid w:val="00F957A5"/>
    <w:rsid w:val="00FA22C6"/>
    <w:rsid w:val="00FA2F77"/>
    <w:rsid w:val="00FA3B20"/>
    <w:rsid w:val="00FB0AE1"/>
    <w:rsid w:val="00FB43E1"/>
    <w:rsid w:val="00FB5D65"/>
    <w:rsid w:val="00FB6EA9"/>
    <w:rsid w:val="00FC6043"/>
    <w:rsid w:val="00FD7A32"/>
    <w:rsid w:val="00FF2DCF"/>
    <w:rsid w:val="00FF4C6E"/>
    <w:rsid w:val="00FF4C71"/>
    <w:rsid w:val="00FF73A5"/>
    <w:rsid w:val="08D32042"/>
    <w:rsid w:val="67A61D8F"/>
    <w:rsid w:val="FECF5C3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3"/>
    <w:qFormat/>
    <w:uiPriority w:val="0"/>
    <w:pPr>
      <w:keepNext/>
      <w:keepLines/>
      <w:spacing w:line="560" w:lineRule="exact"/>
      <w:jc w:val="center"/>
      <w:outlineLvl w:val="0"/>
    </w:pPr>
    <w:rPr>
      <w:rFonts w:ascii="Calibri" w:hAnsi="Calibri" w:eastAsia="黑体" w:cs="Times New Roman"/>
      <w:b/>
      <w:kern w:val="44"/>
      <w:sz w:val="32"/>
      <w:szCs w:val="24"/>
    </w:rPr>
  </w:style>
  <w:style w:type="character" w:default="1" w:styleId="11">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ody Text"/>
    <w:basedOn w:val="1"/>
    <w:link w:val="24"/>
    <w:qFormat/>
    <w:uiPriority w:val="0"/>
    <w:pPr>
      <w:spacing w:after="120"/>
    </w:pPr>
    <w:rPr>
      <w:rFonts w:ascii="Times New Roman" w:hAnsi="Times New Roman" w:eastAsia="宋体" w:cs="Times New Roman"/>
      <w:szCs w:val="24"/>
    </w:rPr>
  </w:style>
  <w:style w:type="paragraph" w:styleId="5">
    <w:name w:val="Plain Text"/>
    <w:basedOn w:val="1"/>
    <w:link w:val="16"/>
    <w:qFormat/>
    <w:uiPriority w:val="0"/>
    <w:rPr>
      <w:rFonts w:ascii="宋体" w:hAnsi="Courier New" w:eastAsia="宋体" w:cs="Courier New"/>
      <w:szCs w:val="21"/>
    </w:rPr>
  </w:style>
  <w:style w:type="paragraph" w:styleId="6">
    <w:name w:val="Balloon Text"/>
    <w:basedOn w:val="1"/>
    <w:link w:val="15"/>
    <w:semiHidden/>
    <w:unhideWhenUsed/>
    <w:uiPriority w:val="99"/>
    <w:rPr>
      <w:sz w:val="18"/>
      <w:szCs w:val="18"/>
    </w:rPr>
  </w:style>
  <w:style w:type="paragraph" w:styleId="7">
    <w:name w:val="footer"/>
    <w:basedOn w:val="1"/>
    <w:link w:val="17"/>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2"/>
    <w:semiHidden/>
    <w:unhideWhenUsed/>
    <w:qFormat/>
    <w:uiPriority w:val="99"/>
    <w:rPr>
      <w:b/>
      <w:bCs/>
    </w:rPr>
  </w:style>
  <w:style w:type="character" w:styleId="12">
    <w:name w:val="page number"/>
    <w:basedOn w:val="11"/>
    <w:qFormat/>
    <w:uiPriority w:val="0"/>
  </w:style>
  <w:style w:type="character" w:styleId="13">
    <w:name w:val="annotation reference"/>
    <w:basedOn w:val="11"/>
    <w:semiHidden/>
    <w:unhideWhenUsed/>
    <w:qFormat/>
    <w:uiPriority w:val="99"/>
    <w:rPr>
      <w:sz w:val="21"/>
      <w:szCs w:val="21"/>
    </w:rPr>
  </w:style>
  <w:style w:type="paragraph" w:styleId="14">
    <w:name w:val="List Paragraph"/>
    <w:basedOn w:val="1"/>
    <w:link w:val="25"/>
    <w:qFormat/>
    <w:uiPriority w:val="34"/>
    <w:pPr>
      <w:ind w:firstLine="420" w:firstLineChars="200"/>
    </w:pPr>
  </w:style>
  <w:style w:type="character" w:customStyle="1" w:styleId="15">
    <w:name w:val="批注框文本 Char"/>
    <w:basedOn w:val="11"/>
    <w:link w:val="6"/>
    <w:semiHidden/>
    <w:uiPriority w:val="99"/>
    <w:rPr>
      <w:sz w:val="18"/>
      <w:szCs w:val="18"/>
    </w:rPr>
  </w:style>
  <w:style w:type="character" w:customStyle="1" w:styleId="16">
    <w:name w:val="纯文本 Char"/>
    <w:basedOn w:val="11"/>
    <w:link w:val="5"/>
    <w:qFormat/>
    <w:uiPriority w:val="0"/>
    <w:rPr>
      <w:rFonts w:ascii="宋体" w:hAnsi="Courier New" w:eastAsia="宋体" w:cs="Courier New"/>
      <w:szCs w:val="21"/>
    </w:rPr>
  </w:style>
  <w:style w:type="character" w:customStyle="1" w:styleId="17">
    <w:name w:val="页脚 Char"/>
    <w:basedOn w:val="11"/>
    <w:link w:val="7"/>
    <w:qFormat/>
    <w:uiPriority w:val="0"/>
    <w:rPr>
      <w:rFonts w:ascii="Times New Roman" w:hAnsi="Times New Roman" w:eastAsia="宋体" w:cs="Times New Roman"/>
      <w:sz w:val="18"/>
      <w:szCs w:val="18"/>
    </w:rPr>
  </w:style>
  <w:style w:type="character" w:customStyle="1" w:styleId="18">
    <w:name w:val="页眉 Char"/>
    <w:basedOn w:val="11"/>
    <w:link w:val="8"/>
    <w:qFormat/>
    <w:uiPriority w:val="99"/>
    <w:rPr>
      <w:sz w:val="18"/>
      <w:szCs w:val="18"/>
    </w:rPr>
  </w:style>
  <w:style w:type="character" w:customStyle="1" w:styleId="19">
    <w:name w:val="纯文本 字符1"/>
    <w:qFormat/>
    <w:uiPriority w:val="0"/>
    <w:rPr>
      <w:rFonts w:ascii="宋体" w:hAnsi="Courier New"/>
      <w:kern w:val="2"/>
      <w:sz w:val="21"/>
      <w:szCs w:val="21"/>
    </w:rPr>
  </w:style>
  <w:style w:type="paragraph" w:customStyle="1" w:styleId="20">
    <w:name w:val="Default"/>
    <w:qFormat/>
    <w:uiPriority w:val="0"/>
    <w:pPr>
      <w:widowControl w:val="0"/>
      <w:autoSpaceDE w:val="0"/>
      <w:autoSpaceDN w:val="0"/>
      <w:adjustRightInd w:val="0"/>
    </w:pPr>
    <w:rPr>
      <w:rFonts w:ascii="楷体_GB2312" w:eastAsia="楷体_GB2312" w:cs="楷体_GB2312" w:hAnsiTheme="minorHAnsi"/>
      <w:color w:val="000000"/>
      <w:sz w:val="24"/>
      <w:szCs w:val="24"/>
      <w:lang w:val="en-US" w:eastAsia="zh-CN" w:bidi="ar-SA"/>
    </w:rPr>
  </w:style>
  <w:style w:type="character" w:customStyle="1" w:styleId="21">
    <w:name w:val="批注文字 Char"/>
    <w:basedOn w:val="11"/>
    <w:link w:val="3"/>
    <w:semiHidden/>
    <w:qFormat/>
    <w:uiPriority w:val="99"/>
  </w:style>
  <w:style w:type="character" w:customStyle="1" w:styleId="22">
    <w:name w:val="批注主题 Char"/>
    <w:basedOn w:val="21"/>
    <w:link w:val="9"/>
    <w:semiHidden/>
    <w:qFormat/>
    <w:uiPriority w:val="99"/>
    <w:rPr>
      <w:b/>
      <w:bCs/>
    </w:rPr>
  </w:style>
  <w:style w:type="character" w:customStyle="1" w:styleId="23">
    <w:name w:val="标题 1 Char"/>
    <w:basedOn w:val="11"/>
    <w:link w:val="2"/>
    <w:qFormat/>
    <w:uiPriority w:val="0"/>
    <w:rPr>
      <w:rFonts w:ascii="Calibri" w:hAnsi="Calibri" w:eastAsia="黑体" w:cs="Times New Roman"/>
      <w:b/>
      <w:kern w:val="44"/>
      <w:sz w:val="32"/>
      <w:szCs w:val="24"/>
    </w:rPr>
  </w:style>
  <w:style w:type="character" w:customStyle="1" w:styleId="24">
    <w:name w:val="正文文本 Char"/>
    <w:basedOn w:val="11"/>
    <w:link w:val="4"/>
    <w:qFormat/>
    <w:uiPriority w:val="0"/>
    <w:rPr>
      <w:rFonts w:ascii="Times New Roman" w:hAnsi="Times New Roman" w:eastAsia="宋体" w:cs="Times New Roman"/>
      <w:kern w:val="2"/>
      <w:sz w:val="21"/>
      <w:szCs w:val="24"/>
    </w:rPr>
  </w:style>
  <w:style w:type="character" w:customStyle="1" w:styleId="25">
    <w:name w:val="列出段落 Char"/>
    <w:link w:val="14"/>
    <w:qFormat/>
    <w:locked/>
    <w:uiPriority w:val="34"/>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10</Pages>
  <Words>1188</Words>
  <Characters>6773</Characters>
  <Lines>56</Lines>
  <Paragraphs>15</Paragraphs>
  <TotalTime>15</TotalTime>
  <ScaleCrop>false</ScaleCrop>
  <LinksUpToDate>false</LinksUpToDate>
  <CharactersWithSpaces>7946</CharactersWithSpaces>
  <Application>WWO_openplatform_20210507165418-e6971cd0a6</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2021-11-25T20:55:00Z</dcterms:created>
  <dc:creator>NTKO</dc:creator>
  <cp:lastModifiedBy>Microsoft</cp:lastModifiedBy>
  <cp:lastPrinted>2022-05-17T11:28:00Z</cp:lastPrinted>
  <dcterms:modified xsi:type="dcterms:W3CDTF">2022-05-17T13:34:43Z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E3F8B3DB3AFB4F1FA950FBF725801F6B</vt:lpwstr>
  </property>
  <property fmtid="{D5CDD505-2E9C-101B-9397-08002B2CF9AE}" pid="4" name="woTemplateTypoMode" linkTarget="0">
    <vt:lpwstr>web</vt:lpwstr>
  </property>
  <property fmtid="{D5CDD505-2E9C-101B-9397-08002B2CF9AE}" pid="5" name="woTemplate" linkTarget="0">
    <vt:i4>1</vt:i4>
  </property>
</Properties>
</file>